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9BDC" w14:textId="77777777" w:rsidR="009C12FD" w:rsidRPr="00741715" w:rsidRDefault="009C12FD" w:rsidP="009C12FD">
      <w:r w:rsidRPr="00741715">
        <w:rPr>
          <w:noProof/>
          <w:lang w:eastAsia="es-CR"/>
        </w:rPr>
        <w:drawing>
          <wp:inline distT="0" distB="0" distL="0" distR="0" wp14:anchorId="32B268F7" wp14:editId="01718F78">
            <wp:extent cx="5608320" cy="2078990"/>
            <wp:effectExtent l="19050" t="0" r="0" b="0"/>
            <wp:docPr id="1" name="Imagen 1" descr="C:\Users\amatab\Desktop\en desarrollo\artesgraficas\Sala Constitucional facebook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en desarrollo\artesgraficas\Sala Constitucional facebook_Mesa de trabajo 1.jpg"/>
                    <pic:cNvPicPr>
                      <a:picLocks noChangeAspect="1" noChangeArrowheads="1"/>
                    </pic:cNvPicPr>
                  </pic:nvPicPr>
                  <pic:blipFill>
                    <a:blip r:embed="rId6" cstate="print"/>
                    <a:srcRect/>
                    <a:stretch>
                      <a:fillRect/>
                    </a:stretch>
                  </pic:blipFill>
                  <pic:spPr bwMode="auto">
                    <a:xfrm>
                      <a:off x="0" y="0"/>
                      <a:ext cx="5608320" cy="2078990"/>
                    </a:xfrm>
                    <a:prstGeom prst="rect">
                      <a:avLst/>
                    </a:prstGeom>
                    <a:noFill/>
                    <a:ln w="9525">
                      <a:noFill/>
                      <a:miter lim="800000"/>
                      <a:headEnd/>
                      <a:tailEnd/>
                    </a:ln>
                  </pic:spPr>
                </pic:pic>
              </a:graphicData>
            </a:graphic>
          </wp:inline>
        </w:drawing>
      </w:r>
    </w:p>
    <w:tbl>
      <w:tblPr>
        <w:tblStyle w:val="Tablaconcuadrcula"/>
        <w:tblW w:w="9209" w:type="dxa"/>
        <w:tblLook w:val="04A0" w:firstRow="1" w:lastRow="0" w:firstColumn="1" w:lastColumn="0" w:noHBand="0" w:noVBand="1"/>
      </w:tblPr>
      <w:tblGrid>
        <w:gridCol w:w="2516"/>
        <w:gridCol w:w="6693"/>
      </w:tblGrid>
      <w:tr w:rsidR="009C12FD" w:rsidRPr="00741715" w14:paraId="02938316" w14:textId="77777777" w:rsidTr="00741715">
        <w:tc>
          <w:tcPr>
            <w:tcW w:w="9209" w:type="dxa"/>
            <w:gridSpan w:val="2"/>
            <w:shd w:val="clear" w:color="auto" w:fill="2F5496" w:themeFill="accent1" w:themeFillShade="BF"/>
          </w:tcPr>
          <w:p w14:paraId="2BC01287" w14:textId="6B54CCFF" w:rsidR="009C12FD" w:rsidRPr="00741715" w:rsidRDefault="009C12FD" w:rsidP="00171C85">
            <w:pPr>
              <w:jc w:val="center"/>
              <w:rPr>
                <w:rFonts w:ascii="Arial" w:hAnsi="Arial" w:cs="Arial"/>
                <w:b/>
                <w:bCs/>
                <w:color w:val="FFFF00"/>
                <w:sz w:val="36"/>
                <w:szCs w:val="36"/>
              </w:rPr>
            </w:pPr>
            <w:r w:rsidRPr="00741715">
              <w:rPr>
                <w:rFonts w:ascii="Arial" w:hAnsi="Arial" w:cs="Arial"/>
                <w:b/>
                <w:bCs/>
                <w:color w:val="FFFF00"/>
                <w:sz w:val="36"/>
                <w:szCs w:val="36"/>
              </w:rPr>
              <w:t>Sentencias relevantes de la Sala Constitucional #23- Edición abril 2021</w:t>
            </w:r>
          </w:p>
        </w:tc>
      </w:tr>
      <w:tr w:rsidR="009C12FD" w:rsidRPr="00741715" w14:paraId="7C9BB0E2" w14:textId="77777777" w:rsidTr="00741715">
        <w:tc>
          <w:tcPr>
            <w:tcW w:w="9209" w:type="dxa"/>
            <w:gridSpan w:val="2"/>
            <w:shd w:val="clear" w:color="auto" w:fill="BFBFBF" w:themeFill="background1" w:themeFillShade="BF"/>
          </w:tcPr>
          <w:p w14:paraId="7018A5C0" w14:textId="77777777" w:rsidR="009C12FD" w:rsidRPr="00741715" w:rsidRDefault="009C12FD" w:rsidP="00171C85">
            <w:pPr>
              <w:jc w:val="both"/>
              <w:rPr>
                <w:rFonts w:ascii="Times New Roman" w:hAnsi="Times New Roman" w:cs="Times New Roman"/>
                <w:sz w:val="24"/>
                <w:szCs w:val="24"/>
              </w:rPr>
            </w:pPr>
          </w:p>
        </w:tc>
      </w:tr>
      <w:tr w:rsidR="009C12FD" w:rsidRPr="00741715" w14:paraId="48D75436" w14:textId="77777777" w:rsidTr="00741715">
        <w:tc>
          <w:tcPr>
            <w:tcW w:w="2516" w:type="dxa"/>
            <w:shd w:val="clear" w:color="auto" w:fill="D9E2F3" w:themeFill="accent1" w:themeFillTint="33"/>
          </w:tcPr>
          <w:p w14:paraId="7BDDC1DD"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05632D8E" w14:textId="63C04762"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2021003832</w:t>
            </w:r>
          </w:p>
        </w:tc>
      </w:tr>
      <w:tr w:rsidR="009C12FD" w:rsidRPr="00741715" w14:paraId="0BD70052" w14:textId="77777777" w:rsidTr="00741715">
        <w:tc>
          <w:tcPr>
            <w:tcW w:w="2516" w:type="dxa"/>
          </w:tcPr>
          <w:p w14:paraId="07C67B3B"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64723137" w14:textId="207C5510" w:rsidR="009C12FD" w:rsidRPr="00741715" w:rsidRDefault="001659A0"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hAnsi="Times New Roman" w:cs="Times New Roman"/>
                <w:sz w:val="24"/>
                <w:szCs w:val="24"/>
              </w:rPr>
              <w:t>24 de febrero</w:t>
            </w:r>
          </w:p>
        </w:tc>
      </w:tr>
      <w:tr w:rsidR="009C12FD" w:rsidRPr="00741715" w14:paraId="1FA0BE1F" w14:textId="77777777" w:rsidTr="00741715">
        <w:tc>
          <w:tcPr>
            <w:tcW w:w="2516" w:type="dxa"/>
            <w:shd w:val="clear" w:color="auto" w:fill="D9D9D9" w:themeFill="background1" w:themeFillShade="D9"/>
          </w:tcPr>
          <w:p w14:paraId="52340E7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321D0DA2" w14:textId="279DB960"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Salud</w:t>
            </w:r>
          </w:p>
        </w:tc>
      </w:tr>
      <w:tr w:rsidR="009C12FD" w:rsidRPr="00741715" w14:paraId="19937984" w14:textId="77777777" w:rsidTr="00741715">
        <w:tc>
          <w:tcPr>
            <w:tcW w:w="2516" w:type="dxa"/>
          </w:tcPr>
          <w:p w14:paraId="74AA5C9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46ADEE15" w14:textId="6E853FBD"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Acción de inconstitucionalidad</w:t>
            </w:r>
          </w:p>
        </w:tc>
      </w:tr>
      <w:tr w:rsidR="009C12FD" w:rsidRPr="00741715" w14:paraId="2DD531E5" w14:textId="77777777" w:rsidTr="00741715">
        <w:tc>
          <w:tcPr>
            <w:tcW w:w="2516" w:type="dxa"/>
          </w:tcPr>
          <w:p w14:paraId="49A98748"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07B7B631" w14:textId="493A2204" w:rsidR="009C12FD" w:rsidRPr="00741715" w:rsidRDefault="001659A0"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Norma impugnada: Artículo 34 de la Ley Nacional de Emergencias y Prevención del Riesgo. NO. 8488, Decreto Ejecutivo No. 42227-MP-S de marzo 2020 y medidas ante la Pandemia de COVID-19. (Restricción vehicular, cierre de actividad</w:t>
            </w:r>
            <w:r w:rsidR="00741715">
              <w:rPr>
                <w:rFonts w:ascii="Times New Roman" w:hAnsi="Times New Roman" w:cs="Times New Roman"/>
                <w:sz w:val="24"/>
                <w:szCs w:val="24"/>
              </w:rPr>
              <w:t xml:space="preserve"> </w:t>
            </w:r>
            <w:r w:rsidRPr="00741715">
              <w:rPr>
                <w:rFonts w:ascii="Times New Roman" w:hAnsi="Times New Roman" w:cs="Times New Roman"/>
                <w:sz w:val="24"/>
                <w:szCs w:val="24"/>
              </w:rPr>
              <w:t>comercial)</w:t>
            </w:r>
            <w:r w:rsidRPr="00741715">
              <w:rPr>
                <w:rFonts w:ascii="Times New Roman" w:hAnsi="Times New Roman" w:cs="Times New Roman"/>
                <w:sz w:val="24"/>
                <w:szCs w:val="24"/>
              </w:rPr>
              <w:br/>
              <w:t>Parte dispositiva: Se rechaza de plano la acción. Los magistrados Rueda Leal, Garro Vargas y Fernández Argüello salvan parcialmente el voto y ordenan hacer la prevención del artículo 80 de la Ley de la Jurisdicción Constitucional</w:t>
            </w:r>
            <w:r w:rsidR="00741715">
              <w:rPr>
                <w:rFonts w:ascii="Times New Roman" w:hAnsi="Times New Roman" w:cs="Times New Roman"/>
                <w:sz w:val="24"/>
                <w:szCs w:val="24"/>
              </w:rPr>
              <w:t xml:space="preserve">. </w:t>
            </w:r>
          </w:p>
        </w:tc>
      </w:tr>
      <w:tr w:rsidR="00E06255" w:rsidRPr="00741715" w14:paraId="6A4C5EA2" w14:textId="77777777" w:rsidTr="00E06255">
        <w:tc>
          <w:tcPr>
            <w:tcW w:w="2516" w:type="dxa"/>
            <w:shd w:val="clear" w:color="auto" w:fill="ACB9CA" w:themeFill="text2" w:themeFillTint="66"/>
          </w:tcPr>
          <w:p w14:paraId="02A60E15" w14:textId="2E58310F" w:rsidR="00E06255" w:rsidRPr="00741715" w:rsidRDefault="00E06255" w:rsidP="00741715">
            <w:pPr>
              <w:spacing w:after="100"/>
              <w:jc w:val="both"/>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3776F972" w14:textId="159A9EAC" w:rsidR="00E06255" w:rsidRPr="00741715" w:rsidRDefault="00E06255" w:rsidP="00741715">
            <w:pPr>
              <w:jc w:val="both"/>
              <w:rPr>
                <w:rFonts w:ascii="Times New Roman" w:hAnsi="Times New Roman" w:cs="Times New Roman"/>
                <w:sz w:val="24"/>
                <w:szCs w:val="24"/>
                <w:lang w:eastAsia="es-CR"/>
              </w:rPr>
            </w:pPr>
            <w:r>
              <w:rPr>
                <w:rFonts w:ascii="Times New Roman" w:hAnsi="Times New Roman" w:cs="Times New Roman"/>
                <w:sz w:val="24"/>
                <w:szCs w:val="24"/>
                <w:lang w:eastAsia="es-CR"/>
              </w:rPr>
              <w:t>En redacción</w:t>
            </w:r>
          </w:p>
        </w:tc>
      </w:tr>
      <w:tr w:rsidR="009C12FD" w:rsidRPr="00741715" w14:paraId="276311F2" w14:textId="77777777" w:rsidTr="00741715">
        <w:tc>
          <w:tcPr>
            <w:tcW w:w="2516" w:type="dxa"/>
            <w:shd w:val="clear" w:color="auto" w:fill="44546A" w:themeFill="text2"/>
          </w:tcPr>
          <w:p w14:paraId="3D975219"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71355DF9"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45BF7F04" w14:textId="77777777" w:rsidTr="00741715">
        <w:tc>
          <w:tcPr>
            <w:tcW w:w="2516" w:type="dxa"/>
            <w:shd w:val="clear" w:color="auto" w:fill="D9E2F3" w:themeFill="accent1" w:themeFillTint="33"/>
          </w:tcPr>
          <w:p w14:paraId="1EB42764"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0057DCD5" w14:textId="68DDD697"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2021002741</w:t>
            </w:r>
          </w:p>
        </w:tc>
      </w:tr>
      <w:tr w:rsidR="009C12FD" w:rsidRPr="00741715" w14:paraId="06F57103" w14:textId="77777777" w:rsidTr="00741715">
        <w:tc>
          <w:tcPr>
            <w:tcW w:w="2516" w:type="dxa"/>
          </w:tcPr>
          <w:p w14:paraId="5E7899AA"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53ABF57C" w14:textId="2CA84076" w:rsidR="009C12FD" w:rsidRPr="00741715" w:rsidRDefault="00F05B91"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12 de </w:t>
            </w:r>
            <w:r w:rsidR="001659A0" w:rsidRPr="00741715">
              <w:rPr>
                <w:rFonts w:ascii="Times New Roman" w:eastAsia="Times New Roman" w:hAnsi="Times New Roman" w:cs="Times New Roman"/>
                <w:color w:val="000000"/>
                <w:sz w:val="24"/>
                <w:szCs w:val="24"/>
                <w:lang w:eastAsia="es-CR"/>
              </w:rPr>
              <w:t>febrero</w:t>
            </w:r>
            <w:r>
              <w:rPr>
                <w:rFonts w:ascii="Times New Roman" w:eastAsia="Times New Roman" w:hAnsi="Times New Roman" w:cs="Times New Roman"/>
                <w:color w:val="000000"/>
                <w:sz w:val="24"/>
                <w:szCs w:val="24"/>
                <w:lang w:eastAsia="es-CR"/>
              </w:rPr>
              <w:t xml:space="preserve"> del 2021</w:t>
            </w:r>
          </w:p>
        </w:tc>
      </w:tr>
      <w:tr w:rsidR="009C12FD" w:rsidRPr="00741715" w14:paraId="45F37613" w14:textId="77777777" w:rsidTr="00741715">
        <w:tc>
          <w:tcPr>
            <w:tcW w:w="2516" w:type="dxa"/>
            <w:shd w:val="clear" w:color="auto" w:fill="D9D9D9" w:themeFill="background1" w:themeFillShade="D9"/>
          </w:tcPr>
          <w:p w14:paraId="10FD473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5FA13176" w14:textId="2A7C8783"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Ambiente</w:t>
            </w:r>
          </w:p>
        </w:tc>
      </w:tr>
      <w:tr w:rsidR="009C12FD" w:rsidRPr="00741715" w14:paraId="7FD9A7BA" w14:textId="77777777" w:rsidTr="00741715">
        <w:tc>
          <w:tcPr>
            <w:tcW w:w="2516" w:type="dxa"/>
          </w:tcPr>
          <w:p w14:paraId="28059A8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7A0729C0" w14:textId="28D3677D" w:rsidR="009C12FD" w:rsidRPr="00741715" w:rsidRDefault="001659A0"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2C499985" w14:textId="77777777" w:rsidTr="00741715">
        <w:tc>
          <w:tcPr>
            <w:tcW w:w="2516" w:type="dxa"/>
          </w:tcPr>
          <w:p w14:paraId="5C0489D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lastRenderedPageBreak/>
              <w:t>Resumen:</w:t>
            </w:r>
          </w:p>
        </w:tc>
        <w:tc>
          <w:tcPr>
            <w:tcW w:w="6693" w:type="dxa"/>
          </w:tcPr>
          <w:p w14:paraId="352A213B" w14:textId="33926187" w:rsidR="009C12FD" w:rsidRPr="00741715" w:rsidRDefault="001659A0"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 xml:space="preserve">Se ordena a varias instituciones públicas que, en el plazo de tres meses, delimiten el ecosistema de manglar de la zona de Quepos. </w:t>
            </w:r>
            <w:r w:rsidR="000C7272">
              <w:rPr>
                <w:rFonts w:ascii="Times New Roman" w:hAnsi="Times New Roman" w:cs="Times New Roman"/>
                <w:sz w:val="24"/>
                <w:szCs w:val="24"/>
              </w:rPr>
              <w:t>A</w:t>
            </w:r>
            <w:r w:rsidRPr="00741715">
              <w:rPr>
                <w:rFonts w:ascii="Times New Roman" w:hAnsi="Times New Roman" w:cs="Times New Roman"/>
                <w:sz w:val="24"/>
                <w:szCs w:val="24"/>
              </w:rPr>
              <w:t xml:space="preserve">simismo, deberán adoptar de forma inmediata las medidas necesarias para mitigar y prevenir la contaminación generada por las aguas residuales del asentamiento El Cocal. Igualmente, en el plazo de seis meses, deben definir la naturaleza jurídica y el régimen normativo aplicable al territorio donde se encuentra el asentamiento y, una vez definida la situación legal y el régimen aplicable del territorio en cuestión, en el plazo máximo de veinticuatro meses, deberán las autoridades recurridas, brindar una solución definitiva al problema de contaminación por aguas residuales que se genera en la zona del asentamiento El Cocal, misma que afecta al medioambiente. </w:t>
            </w:r>
          </w:p>
        </w:tc>
      </w:tr>
      <w:tr w:rsidR="009C12FD" w:rsidRPr="00741715" w14:paraId="1DE38ACE" w14:textId="77777777" w:rsidTr="00741715">
        <w:tc>
          <w:tcPr>
            <w:tcW w:w="2516" w:type="dxa"/>
            <w:shd w:val="clear" w:color="auto" w:fill="ACB9CA" w:themeFill="text2" w:themeFillTint="66"/>
          </w:tcPr>
          <w:p w14:paraId="1E9348ED"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13617C20" w14:textId="3DBC305F" w:rsidR="009C12FD" w:rsidRPr="00741715" w:rsidRDefault="00260DBF" w:rsidP="00741715">
            <w:pPr>
              <w:spacing w:after="160"/>
              <w:jc w:val="both"/>
              <w:rPr>
                <w:rFonts w:ascii="Times New Roman" w:hAnsi="Times New Roman" w:cs="Times New Roman"/>
                <w:sz w:val="24"/>
                <w:szCs w:val="24"/>
              </w:rPr>
            </w:pPr>
            <w:hyperlink r:id="rId7" w:history="1">
              <w:r w:rsidR="001659A0" w:rsidRPr="00741715">
                <w:rPr>
                  <w:rFonts w:ascii="Times New Roman" w:hAnsi="Times New Roman" w:cs="Times New Roman"/>
                  <w:color w:val="0563C1" w:themeColor="hyperlink"/>
                  <w:sz w:val="24"/>
                  <w:szCs w:val="24"/>
                  <w:u w:val="single"/>
                </w:rPr>
                <w:t>https://nexuspj.poder-judicial.go.cr/document/sen-1-0007-1014453</w:t>
              </w:r>
            </w:hyperlink>
          </w:p>
        </w:tc>
      </w:tr>
      <w:tr w:rsidR="009C12FD" w:rsidRPr="00741715" w14:paraId="0188024D" w14:textId="77777777" w:rsidTr="00741715">
        <w:tc>
          <w:tcPr>
            <w:tcW w:w="2516" w:type="dxa"/>
            <w:shd w:val="clear" w:color="auto" w:fill="44546A" w:themeFill="text2"/>
          </w:tcPr>
          <w:p w14:paraId="3D50B6A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5C7B4EB9"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083FC8A2" w14:textId="77777777" w:rsidTr="00741715">
        <w:tc>
          <w:tcPr>
            <w:tcW w:w="2516" w:type="dxa"/>
            <w:shd w:val="clear" w:color="auto" w:fill="D9E2F3" w:themeFill="accent1" w:themeFillTint="33"/>
          </w:tcPr>
          <w:p w14:paraId="59CCF77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273DC874" w14:textId="27F487EE" w:rsidR="009C12FD" w:rsidRPr="00741715" w:rsidRDefault="00741715" w:rsidP="00741715">
            <w:pPr>
              <w:spacing w:after="100"/>
              <w:jc w:val="both"/>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20210</w:t>
            </w:r>
            <w:r w:rsidRPr="00741715">
              <w:rPr>
                <w:rFonts w:ascii="Times New Roman" w:eastAsia="Times New Roman" w:hAnsi="Times New Roman" w:cs="Times New Roman"/>
                <w:sz w:val="24"/>
                <w:szCs w:val="24"/>
                <w:lang w:eastAsia="es-CR"/>
              </w:rPr>
              <w:t>03967</w:t>
            </w:r>
          </w:p>
        </w:tc>
      </w:tr>
      <w:tr w:rsidR="009C12FD" w:rsidRPr="00741715" w14:paraId="619B6D7E" w14:textId="77777777" w:rsidTr="00741715">
        <w:tc>
          <w:tcPr>
            <w:tcW w:w="2516" w:type="dxa"/>
          </w:tcPr>
          <w:p w14:paraId="1200B51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402EE1DB" w14:textId="7A235961" w:rsidR="009C12FD" w:rsidRPr="00741715" w:rsidRDefault="00DE3CD4"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eastAsia="Times New Roman" w:hAnsi="Times New Roman" w:cs="Times New Roman"/>
                <w:color w:val="000000"/>
                <w:sz w:val="24"/>
                <w:szCs w:val="24"/>
                <w:lang w:eastAsia="es-CR"/>
              </w:rPr>
              <w:t>26 de febrero del 2021</w:t>
            </w:r>
          </w:p>
        </w:tc>
      </w:tr>
      <w:tr w:rsidR="009C12FD" w:rsidRPr="00741715" w14:paraId="5C1D4361" w14:textId="77777777" w:rsidTr="00741715">
        <w:tc>
          <w:tcPr>
            <w:tcW w:w="2516" w:type="dxa"/>
            <w:shd w:val="clear" w:color="auto" w:fill="D9D9D9" w:themeFill="background1" w:themeFillShade="D9"/>
          </w:tcPr>
          <w:p w14:paraId="22C459E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61BAF386" w14:textId="642BCEF8"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Educación</w:t>
            </w:r>
          </w:p>
        </w:tc>
      </w:tr>
      <w:tr w:rsidR="009C12FD" w:rsidRPr="00741715" w14:paraId="2F5424B6" w14:textId="77777777" w:rsidTr="00741715">
        <w:tc>
          <w:tcPr>
            <w:tcW w:w="2516" w:type="dxa"/>
          </w:tcPr>
          <w:p w14:paraId="69AEC91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71644912" w14:textId="788FB8AD"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108798B4" w14:textId="77777777" w:rsidTr="00741715">
        <w:tc>
          <w:tcPr>
            <w:tcW w:w="2516" w:type="dxa"/>
          </w:tcPr>
          <w:p w14:paraId="4A11269E"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0F0366B3" w14:textId="11B4356A" w:rsidR="009C12FD" w:rsidRPr="00741715" w:rsidRDefault="00DE3CD4" w:rsidP="00741715">
            <w:pPr>
              <w:jc w:val="both"/>
              <w:rPr>
                <w:rFonts w:ascii="Times New Roman" w:hAnsi="Times New Roman" w:cs="Times New Roman"/>
                <w:sz w:val="24"/>
                <w:szCs w:val="24"/>
              </w:rPr>
            </w:pPr>
            <w:r w:rsidRPr="00741715">
              <w:rPr>
                <w:rFonts w:ascii="Times New Roman" w:hAnsi="Times New Roman" w:cs="Times New Roman"/>
                <w:sz w:val="24"/>
                <w:szCs w:val="24"/>
              </w:rPr>
              <w:t xml:space="preserve">Madre de un menor de edad solicita a la Sala Constitucional permitir que su hijo estudie en casa, pues debido a un problema de salud, no puede hacerlo en la escuela. Se declara sin lugar, por cuanto es una decisión que deben tomar las autoridades competentes; sin embargo, se indica que el centro educativo especializado debe brindar acompañamiento y asesoría a la persona encargada del adolescente. </w:t>
            </w:r>
          </w:p>
        </w:tc>
      </w:tr>
      <w:tr w:rsidR="009C12FD" w:rsidRPr="00741715" w14:paraId="3FDC757A" w14:textId="77777777" w:rsidTr="00741715">
        <w:tc>
          <w:tcPr>
            <w:tcW w:w="2516" w:type="dxa"/>
            <w:shd w:val="clear" w:color="auto" w:fill="ACB9CA" w:themeFill="text2" w:themeFillTint="66"/>
          </w:tcPr>
          <w:p w14:paraId="3CF9E34B"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59918D09" w14:textId="52CFEAD4" w:rsidR="009C12FD" w:rsidRPr="00741715" w:rsidRDefault="00260DBF" w:rsidP="00741715">
            <w:pPr>
              <w:jc w:val="both"/>
              <w:rPr>
                <w:rFonts w:ascii="Times New Roman" w:hAnsi="Times New Roman" w:cs="Times New Roman"/>
                <w:sz w:val="24"/>
                <w:szCs w:val="24"/>
                <w:lang w:eastAsia="es-CR"/>
              </w:rPr>
            </w:pPr>
            <w:hyperlink r:id="rId8" w:history="1">
              <w:r w:rsidR="00DE3CD4" w:rsidRPr="00741715">
                <w:rPr>
                  <w:rFonts w:ascii="Times New Roman" w:hAnsi="Times New Roman" w:cs="Times New Roman"/>
                  <w:color w:val="0563C1" w:themeColor="hyperlink"/>
                  <w:sz w:val="24"/>
                  <w:szCs w:val="24"/>
                  <w:u w:val="single"/>
                </w:rPr>
                <w:t>https://nexuspj.poder-judicial.go.cr/document/sen-1-0007-1015468</w:t>
              </w:r>
            </w:hyperlink>
          </w:p>
        </w:tc>
      </w:tr>
      <w:tr w:rsidR="009C12FD" w:rsidRPr="00741715" w14:paraId="5148617E" w14:textId="77777777" w:rsidTr="00741715">
        <w:tc>
          <w:tcPr>
            <w:tcW w:w="2516" w:type="dxa"/>
            <w:shd w:val="clear" w:color="auto" w:fill="44546A" w:themeFill="text2"/>
          </w:tcPr>
          <w:p w14:paraId="07938FA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42FBCF31"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13DE2A4A" w14:textId="77777777" w:rsidTr="00741715">
        <w:tc>
          <w:tcPr>
            <w:tcW w:w="2516" w:type="dxa"/>
            <w:shd w:val="clear" w:color="auto" w:fill="D9E2F3" w:themeFill="accent1" w:themeFillTint="33"/>
          </w:tcPr>
          <w:p w14:paraId="60D0FEAE"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4CC7463B" w14:textId="129CB217"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2021004504</w:t>
            </w:r>
          </w:p>
        </w:tc>
      </w:tr>
      <w:tr w:rsidR="009C12FD" w:rsidRPr="00741715" w14:paraId="357695C6" w14:textId="77777777" w:rsidTr="00741715">
        <w:tc>
          <w:tcPr>
            <w:tcW w:w="2516" w:type="dxa"/>
          </w:tcPr>
          <w:p w14:paraId="4D091F17"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71FA96C2" w14:textId="49CEF5F0" w:rsidR="009C12FD" w:rsidRPr="00741715" w:rsidRDefault="00DE3CD4"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eastAsia="Times New Roman" w:hAnsi="Times New Roman" w:cs="Times New Roman"/>
                <w:color w:val="000000"/>
                <w:sz w:val="24"/>
                <w:szCs w:val="24"/>
                <w:lang w:eastAsia="es-CR"/>
              </w:rPr>
              <w:t>5 de marzo del 2021</w:t>
            </w:r>
          </w:p>
        </w:tc>
      </w:tr>
      <w:tr w:rsidR="009C12FD" w:rsidRPr="00741715" w14:paraId="387BB6AE" w14:textId="77777777" w:rsidTr="00741715">
        <w:tc>
          <w:tcPr>
            <w:tcW w:w="2516" w:type="dxa"/>
            <w:shd w:val="clear" w:color="auto" w:fill="D9D9D9" w:themeFill="background1" w:themeFillShade="D9"/>
          </w:tcPr>
          <w:p w14:paraId="215CAC2A"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7B459BEC" w14:textId="0733B77B"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Libertad de culto</w:t>
            </w:r>
          </w:p>
        </w:tc>
      </w:tr>
      <w:tr w:rsidR="009C12FD" w:rsidRPr="00741715" w14:paraId="748A4089" w14:textId="77777777" w:rsidTr="00741715">
        <w:tc>
          <w:tcPr>
            <w:tcW w:w="2516" w:type="dxa"/>
          </w:tcPr>
          <w:p w14:paraId="7D1BF41E"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34712AF8" w14:textId="0ABD54F2"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0E0F827D" w14:textId="77777777" w:rsidTr="00741715">
        <w:tc>
          <w:tcPr>
            <w:tcW w:w="2516" w:type="dxa"/>
          </w:tcPr>
          <w:p w14:paraId="76DABCCE"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408A208C" w14:textId="5CE6B77C" w:rsidR="009C12FD" w:rsidRPr="00741715" w:rsidRDefault="000C7272" w:rsidP="00741715">
            <w:pPr>
              <w:spacing w:after="160"/>
              <w:jc w:val="both"/>
              <w:rPr>
                <w:rFonts w:ascii="Times New Roman" w:hAnsi="Times New Roman" w:cs="Times New Roman"/>
                <w:sz w:val="24"/>
                <w:szCs w:val="24"/>
              </w:rPr>
            </w:pPr>
            <w:r>
              <w:rPr>
                <w:rFonts w:ascii="Times New Roman" w:hAnsi="Times New Roman" w:cs="Times New Roman"/>
                <w:sz w:val="24"/>
                <w:szCs w:val="24"/>
              </w:rPr>
              <w:t xml:space="preserve">Recurrente alega que la autoridad pública </w:t>
            </w:r>
            <w:r w:rsidRPr="00741715">
              <w:rPr>
                <w:rFonts w:ascii="Times New Roman" w:hAnsi="Times New Roman" w:cs="Times New Roman"/>
                <w:sz w:val="24"/>
                <w:szCs w:val="24"/>
              </w:rPr>
              <w:t>lesiona el derecho a la libertad de culto</w:t>
            </w:r>
            <w:r>
              <w:rPr>
                <w:rFonts w:ascii="Times New Roman" w:hAnsi="Times New Roman" w:cs="Times New Roman"/>
                <w:sz w:val="24"/>
                <w:szCs w:val="24"/>
              </w:rPr>
              <w:t xml:space="preserve"> al</w:t>
            </w:r>
            <w:r w:rsidR="00DE3CD4" w:rsidRPr="00741715">
              <w:rPr>
                <w:rFonts w:ascii="Times New Roman" w:hAnsi="Times New Roman" w:cs="Times New Roman"/>
                <w:sz w:val="24"/>
                <w:szCs w:val="24"/>
              </w:rPr>
              <w:t xml:space="preserve"> solicitar una declaración jurada para un permiso </w:t>
            </w:r>
            <w:r w:rsidR="00DE3CD4" w:rsidRPr="00741715">
              <w:rPr>
                <w:rFonts w:ascii="Times New Roman" w:hAnsi="Times New Roman" w:cs="Times New Roman"/>
                <w:sz w:val="24"/>
                <w:szCs w:val="24"/>
              </w:rPr>
              <w:lastRenderedPageBreak/>
              <w:t xml:space="preserve">sanitario. Se declara sin lugar, por cuanto el requisito se encuentra lejos de aspectos religiosos e inmerso en el ordenamiento jurídico. </w:t>
            </w:r>
          </w:p>
        </w:tc>
      </w:tr>
      <w:tr w:rsidR="009C12FD" w:rsidRPr="00741715" w14:paraId="22090068" w14:textId="77777777" w:rsidTr="00741715">
        <w:tc>
          <w:tcPr>
            <w:tcW w:w="2516" w:type="dxa"/>
            <w:shd w:val="clear" w:color="auto" w:fill="ACB9CA" w:themeFill="text2" w:themeFillTint="66"/>
          </w:tcPr>
          <w:p w14:paraId="040DB0E8"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lastRenderedPageBreak/>
              <w:t>Link a resolución:</w:t>
            </w:r>
          </w:p>
        </w:tc>
        <w:tc>
          <w:tcPr>
            <w:tcW w:w="6693" w:type="dxa"/>
            <w:shd w:val="clear" w:color="auto" w:fill="ACB9CA" w:themeFill="text2" w:themeFillTint="66"/>
          </w:tcPr>
          <w:p w14:paraId="1C48704D" w14:textId="662B3CDC" w:rsidR="009C12FD" w:rsidRPr="00741715" w:rsidRDefault="00260DBF" w:rsidP="00741715">
            <w:pPr>
              <w:jc w:val="both"/>
              <w:rPr>
                <w:rFonts w:ascii="Times New Roman" w:hAnsi="Times New Roman" w:cs="Times New Roman"/>
                <w:sz w:val="24"/>
                <w:szCs w:val="24"/>
                <w:lang w:eastAsia="es-CR"/>
              </w:rPr>
            </w:pPr>
            <w:hyperlink r:id="rId9" w:history="1">
              <w:r w:rsidR="00DE3CD4" w:rsidRPr="00741715">
                <w:rPr>
                  <w:rFonts w:ascii="Times New Roman" w:hAnsi="Times New Roman" w:cs="Times New Roman"/>
                  <w:color w:val="0563C1" w:themeColor="hyperlink"/>
                  <w:sz w:val="24"/>
                  <w:szCs w:val="24"/>
                  <w:u w:val="single"/>
                </w:rPr>
                <w:t>https://nexuspj.poder-judicial.go.cr/document/sen-1-0007-1019772</w:t>
              </w:r>
            </w:hyperlink>
          </w:p>
        </w:tc>
      </w:tr>
      <w:tr w:rsidR="009C12FD" w:rsidRPr="00741715" w14:paraId="560FFA25" w14:textId="77777777" w:rsidTr="00741715">
        <w:tc>
          <w:tcPr>
            <w:tcW w:w="2516" w:type="dxa"/>
            <w:shd w:val="clear" w:color="auto" w:fill="44546A" w:themeFill="text2"/>
          </w:tcPr>
          <w:p w14:paraId="4E6165BB"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09888982"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63E08F8D" w14:textId="77777777" w:rsidTr="00741715">
        <w:tc>
          <w:tcPr>
            <w:tcW w:w="2516" w:type="dxa"/>
            <w:shd w:val="clear" w:color="auto" w:fill="D9E2F3" w:themeFill="accent1" w:themeFillTint="33"/>
          </w:tcPr>
          <w:p w14:paraId="3DFC46F1"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123A5BCD" w14:textId="137F57ED"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2021004705</w:t>
            </w:r>
          </w:p>
        </w:tc>
      </w:tr>
      <w:tr w:rsidR="009C12FD" w:rsidRPr="00741715" w14:paraId="6EE0A21B" w14:textId="77777777" w:rsidTr="00741715">
        <w:tc>
          <w:tcPr>
            <w:tcW w:w="2516" w:type="dxa"/>
          </w:tcPr>
          <w:p w14:paraId="38F00A6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6BCB3C99" w14:textId="5EDE6188" w:rsidR="009C12FD" w:rsidRPr="00741715" w:rsidRDefault="00DE3CD4"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hAnsi="Times New Roman" w:cs="Times New Roman"/>
                <w:sz w:val="24"/>
                <w:szCs w:val="24"/>
              </w:rPr>
              <w:t xml:space="preserve">5 de marzo </w:t>
            </w:r>
            <w:r w:rsidR="00741715">
              <w:rPr>
                <w:rFonts w:ascii="Times New Roman" w:hAnsi="Times New Roman" w:cs="Times New Roman"/>
                <w:sz w:val="24"/>
                <w:szCs w:val="24"/>
              </w:rPr>
              <w:t xml:space="preserve">del </w:t>
            </w:r>
            <w:r w:rsidRPr="00741715">
              <w:rPr>
                <w:rFonts w:ascii="Times New Roman" w:hAnsi="Times New Roman" w:cs="Times New Roman"/>
                <w:sz w:val="24"/>
                <w:szCs w:val="24"/>
              </w:rPr>
              <w:t>2021</w:t>
            </w:r>
          </w:p>
        </w:tc>
      </w:tr>
      <w:tr w:rsidR="009C12FD" w:rsidRPr="00741715" w14:paraId="7A772E36" w14:textId="77777777" w:rsidTr="00741715">
        <w:tc>
          <w:tcPr>
            <w:tcW w:w="2516" w:type="dxa"/>
            <w:shd w:val="clear" w:color="auto" w:fill="D9D9D9" w:themeFill="background1" w:themeFillShade="D9"/>
          </w:tcPr>
          <w:p w14:paraId="3AB7CEA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387EFB30" w14:textId="74AF7191"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Salud</w:t>
            </w:r>
          </w:p>
        </w:tc>
      </w:tr>
      <w:tr w:rsidR="009C12FD" w:rsidRPr="00741715" w14:paraId="29924637" w14:textId="77777777" w:rsidTr="00741715">
        <w:tc>
          <w:tcPr>
            <w:tcW w:w="2516" w:type="dxa"/>
          </w:tcPr>
          <w:p w14:paraId="4934BC49"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0728214D" w14:textId="735282BD"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7A4867D4" w14:textId="77777777" w:rsidTr="00741715">
        <w:tc>
          <w:tcPr>
            <w:tcW w:w="2516" w:type="dxa"/>
          </w:tcPr>
          <w:p w14:paraId="6B9C6B25"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6AC74900" w14:textId="519C8696" w:rsidR="009C12FD" w:rsidRPr="00741715" w:rsidRDefault="00DE3CD4"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Reclamo contra</w:t>
            </w:r>
            <w:r w:rsidR="000C7272">
              <w:rPr>
                <w:rFonts w:ascii="Times New Roman" w:hAnsi="Times New Roman" w:cs="Times New Roman"/>
                <w:sz w:val="24"/>
                <w:szCs w:val="24"/>
              </w:rPr>
              <w:t xml:space="preserve"> el anuncio de la</w:t>
            </w:r>
            <w:r w:rsidRPr="00741715">
              <w:rPr>
                <w:rFonts w:ascii="Times New Roman" w:hAnsi="Times New Roman" w:cs="Times New Roman"/>
                <w:sz w:val="24"/>
                <w:szCs w:val="24"/>
              </w:rPr>
              <w:t xml:space="preserve"> obligatoriedad de la vacuna contra el covid-19 para los funcionarios de Salud, se rechaza de plano el recurso, indicando que no corresponde a la </w:t>
            </w:r>
            <w:r w:rsidR="000C7272">
              <w:rPr>
                <w:rFonts w:ascii="Times New Roman" w:hAnsi="Times New Roman" w:cs="Times New Roman"/>
                <w:sz w:val="24"/>
                <w:szCs w:val="24"/>
              </w:rPr>
              <w:t>S</w:t>
            </w:r>
            <w:r w:rsidRPr="00741715">
              <w:rPr>
                <w:rFonts w:ascii="Times New Roman" w:hAnsi="Times New Roman" w:cs="Times New Roman"/>
                <w:sz w:val="24"/>
                <w:szCs w:val="24"/>
              </w:rPr>
              <w:t xml:space="preserve">ala determinar la procedencia o no del esquema de vacunación en relación al covid-19, por referirse a aspectos técnicos médicos que versan sobre la vulnerabilidad a un virus. </w:t>
            </w:r>
          </w:p>
        </w:tc>
      </w:tr>
      <w:tr w:rsidR="009C12FD" w:rsidRPr="00741715" w14:paraId="7CF2EFE4" w14:textId="77777777" w:rsidTr="00741715">
        <w:tc>
          <w:tcPr>
            <w:tcW w:w="2516" w:type="dxa"/>
            <w:shd w:val="clear" w:color="auto" w:fill="ACB9CA" w:themeFill="text2" w:themeFillTint="66"/>
          </w:tcPr>
          <w:p w14:paraId="46C42055"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6D194181" w14:textId="69D00C63" w:rsidR="009C12FD" w:rsidRPr="00741715" w:rsidRDefault="00260DBF" w:rsidP="00741715">
            <w:pPr>
              <w:jc w:val="both"/>
              <w:rPr>
                <w:rFonts w:ascii="Times New Roman" w:hAnsi="Times New Roman" w:cs="Times New Roman"/>
                <w:sz w:val="24"/>
                <w:szCs w:val="24"/>
                <w:lang w:eastAsia="es-CR"/>
              </w:rPr>
            </w:pPr>
            <w:hyperlink r:id="rId10" w:history="1">
              <w:r w:rsidR="00DE3CD4" w:rsidRPr="00741715">
                <w:rPr>
                  <w:rFonts w:ascii="Times New Roman" w:hAnsi="Times New Roman" w:cs="Times New Roman"/>
                  <w:color w:val="0563C1" w:themeColor="hyperlink"/>
                  <w:sz w:val="24"/>
                  <w:szCs w:val="24"/>
                  <w:u w:val="single"/>
                </w:rPr>
                <w:t>https://nexuspj.poder-judicial.go.cr/document/sen-1-0007-1020127</w:t>
              </w:r>
            </w:hyperlink>
          </w:p>
        </w:tc>
      </w:tr>
      <w:tr w:rsidR="009C12FD" w:rsidRPr="00741715" w14:paraId="60F6DBB4" w14:textId="77777777" w:rsidTr="00741715">
        <w:tc>
          <w:tcPr>
            <w:tcW w:w="2516" w:type="dxa"/>
            <w:shd w:val="clear" w:color="auto" w:fill="44546A" w:themeFill="text2"/>
          </w:tcPr>
          <w:p w14:paraId="0EE9EBC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3F05EA35"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3923149C" w14:textId="77777777" w:rsidTr="00741715">
        <w:tc>
          <w:tcPr>
            <w:tcW w:w="2516" w:type="dxa"/>
            <w:shd w:val="clear" w:color="auto" w:fill="D9E2F3" w:themeFill="accent1" w:themeFillTint="33"/>
          </w:tcPr>
          <w:p w14:paraId="79576A2B"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2990F566" w14:textId="3C4AFBC3"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2021003299</w:t>
            </w:r>
          </w:p>
        </w:tc>
      </w:tr>
      <w:tr w:rsidR="009C12FD" w:rsidRPr="00741715" w14:paraId="18D6EDB6" w14:textId="77777777" w:rsidTr="00741715">
        <w:tc>
          <w:tcPr>
            <w:tcW w:w="2516" w:type="dxa"/>
          </w:tcPr>
          <w:p w14:paraId="11DA744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04AA6AFC" w14:textId="33C7DF2E" w:rsidR="009C12FD" w:rsidRPr="00741715" w:rsidRDefault="00F05B91"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19 de febrero</w:t>
            </w:r>
            <w:r w:rsidR="00DE3CD4" w:rsidRPr="00741715">
              <w:rPr>
                <w:rFonts w:ascii="Times New Roman" w:eastAsia="Times New Roman" w:hAnsi="Times New Roman" w:cs="Times New Roman"/>
                <w:color w:val="000000"/>
                <w:sz w:val="24"/>
                <w:szCs w:val="24"/>
                <w:lang w:eastAsia="es-CR"/>
              </w:rPr>
              <w:t xml:space="preserve"> del 2021</w:t>
            </w:r>
          </w:p>
        </w:tc>
      </w:tr>
      <w:tr w:rsidR="009C12FD" w:rsidRPr="00741715" w14:paraId="5ADB7A19" w14:textId="77777777" w:rsidTr="00741715">
        <w:tc>
          <w:tcPr>
            <w:tcW w:w="2516" w:type="dxa"/>
            <w:shd w:val="clear" w:color="auto" w:fill="D9D9D9" w:themeFill="background1" w:themeFillShade="D9"/>
          </w:tcPr>
          <w:p w14:paraId="086A206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6A690B18" w14:textId="6DD5B61A"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Acceso a documento</w:t>
            </w:r>
          </w:p>
        </w:tc>
      </w:tr>
      <w:tr w:rsidR="009C12FD" w:rsidRPr="00741715" w14:paraId="5206E282" w14:textId="77777777" w:rsidTr="00741715">
        <w:tc>
          <w:tcPr>
            <w:tcW w:w="2516" w:type="dxa"/>
          </w:tcPr>
          <w:p w14:paraId="30E7FDE1"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4F0370B0" w14:textId="4C11213D"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1A0DE0D2" w14:textId="77777777" w:rsidTr="00741715">
        <w:tc>
          <w:tcPr>
            <w:tcW w:w="2516" w:type="dxa"/>
          </w:tcPr>
          <w:p w14:paraId="6D2C758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5DA4E5B9" w14:textId="0651C482" w:rsidR="009C12FD" w:rsidRPr="00741715" w:rsidRDefault="00DE3CD4"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 xml:space="preserve">Sobre el fenómeno de violencia </w:t>
            </w:r>
            <w:proofErr w:type="spellStart"/>
            <w:r w:rsidR="00790FE0">
              <w:rPr>
                <w:rFonts w:ascii="Times New Roman" w:hAnsi="Times New Roman" w:cs="Times New Roman"/>
                <w:sz w:val="24"/>
                <w:szCs w:val="24"/>
              </w:rPr>
              <w:t>b</w:t>
            </w:r>
            <w:r w:rsidR="00790FE0" w:rsidRPr="00741715">
              <w:rPr>
                <w:rFonts w:ascii="Times New Roman" w:hAnsi="Times New Roman" w:cs="Times New Roman"/>
                <w:sz w:val="24"/>
                <w:szCs w:val="24"/>
              </w:rPr>
              <w:t>ullying</w:t>
            </w:r>
            <w:proofErr w:type="spellEnd"/>
            <w:r w:rsidR="00790FE0" w:rsidRPr="00741715">
              <w:rPr>
                <w:rFonts w:ascii="Times New Roman" w:hAnsi="Times New Roman" w:cs="Times New Roman"/>
                <w:sz w:val="24"/>
                <w:szCs w:val="24"/>
              </w:rPr>
              <w:t xml:space="preserve"> </w:t>
            </w:r>
            <w:r w:rsidRPr="00741715">
              <w:rPr>
                <w:rFonts w:ascii="Times New Roman" w:hAnsi="Times New Roman" w:cs="Times New Roman"/>
                <w:sz w:val="24"/>
                <w:szCs w:val="24"/>
              </w:rPr>
              <w:t xml:space="preserve">en los centros educativos y su regulación. </w:t>
            </w:r>
            <w:r w:rsidR="00790FE0" w:rsidRPr="00790FE0">
              <w:rPr>
                <w:rFonts w:ascii="Times New Roman" w:hAnsi="Times New Roman" w:cs="Times New Roman"/>
                <w:sz w:val="24"/>
                <w:szCs w:val="24"/>
              </w:rPr>
              <w:t xml:space="preserve">La recurrente manifiesta que su hija, la amparada, es víctima de acoso y violencia por parte de una compañera en el </w:t>
            </w:r>
            <w:r w:rsidR="00790FE0">
              <w:rPr>
                <w:rFonts w:ascii="Times New Roman" w:hAnsi="Times New Roman" w:cs="Times New Roman"/>
                <w:sz w:val="24"/>
                <w:szCs w:val="24"/>
              </w:rPr>
              <w:t>c</w:t>
            </w:r>
            <w:r w:rsidR="00790FE0" w:rsidRPr="00790FE0">
              <w:rPr>
                <w:rFonts w:ascii="Times New Roman" w:hAnsi="Times New Roman" w:cs="Times New Roman"/>
                <w:sz w:val="24"/>
                <w:szCs w:val="24"/>
              </w:rPr>
              <w:t xml:space="preserve">entro </w:t>
            </w:r>
            <w:r w:rsidR="00790FE0">
              <w:rPr>
                <w:rFonts w:ascii="Times New Roman" w:hAnsi="Times New Roman" w:cs="Times New Roman"/>
                <w:sz w:val="24"/>
                <w:szCs w:val="24"/>
              </w:rPr>
              <w:t>e</w:t>
            </w:r>
            <w:r w:rsidR="00790FE0" w:rsidRPr="00790FE0">
              <w:rPr>
                <w:rFonts w:ascii="Times New Roman" w:hAnsi="Times New Roman" w:cs="Times New Roman"/>
                <w:sz w:val="24"/>
                <w:szCs w:val="24"/>
              </w:rPr>
              <w:t xml:space="preserve">ducativo. Indica que </w:t>
            </w:r>
            <w:r w:rsidR="00790FE0">
              <w:rPr>
                <w:rFonts w:ascii="Times New Roman" w:hAnsi="Times New Roman" w:cs="Times New Roman"/>
                <w:sz w:val="24"/>
                <w:szCs w:val="24"/>
              </w:rPr>
              <w:t xml:space="preserve">las autoridades abrieron un procedimiento por </w:t>
            </w:r>
            <w:proofErr w:type="spellStart"/>
            <w:r w:rsidR="00790FE0">
              <w:rPr>
                <w:rFonts w:ascii="Times New Roman" w:hAnsi="Times New Roman" w:cs="Times New Roman"/>
                <w:sz w:val="24"/>
                <w:szCs w:val="24"/>
              </w:rPr>
              <w:t>bullying</w:t>
            </w:r>
            <w:proofErr w:type="spellEnd"/>
            <w:r w:rsidR="00790FE0">
              <w:rPr>
                <w:rFonts w:ascii="Times New Roman" w:hAnsi="Times New Roman" w:cs="Times New Roman"/>
                <w:sz w:val="24"/>
                <w:szCs w:val="24"/>
              </w:rPr>
              <w:t xml:space="preserve">, pero que fue cerrado </w:t>
            </w:r>
            <w:r w:rsidR="00790FE0" w:rsidRPr="00790FE0">
              <w:rPr>
                <w:rFonts w:ascii="Times New Roman" w:hAnsi="Times New Roman" w:cs="Times New Roman"/>
                <w:sz w:val="24"/>
                <w:szCs w:val="24"/>
              </w:rPr>
              <w:t>debido a la falta de prueba. La suscrita acusa que solicitó una copia del respectivo expediente junto con la evidencia recolectada, sin embargo, se le negó acceso por tener carácter confidencial.</w:t>
            </w:r>
            <w:r w:rsidR="00790FE0">
              <w:rPr>
                <w:rFonts w:ascii="Times New Roman" w:hAnsi="Times New Roman" w:cs="Times New Roman"/>
                <w:sz w:val="24"/>
                <w:szCs w:val="24"/>
              </w:rPr>
              <w:t xml:space="preserve"> </w:t>
            </w:r>
            <w:r w:rsidR="00790FE0" w:rsidRPr="00790FE0">
              <w:rPr>
                <w:rFonts w:ascii="Times New Roman" w:hAnsi="Times New Roman" w:cs="Times New Roman"/>
                <w:sz w:val="24"/>
                <w:szCs w:val="24"/>
              </w:rPr>
              <w:t xml:space="preserve">La Sala comprende que el ejercicio del derecho de defensa implica, en la generalidad de los casos, el acceso absoluto a las pruebas que constan en el expediente. Sin embargo, en el sub examine, este Tribunal considera que lleva razón la autoridad recurrida en resguardar la confidencialidad del expediente y el testimonio de los testigos, en cuanto su publicidad puede implicar consecuencias gravosas en su perjuicio, que van más </w:t>
            </w:r>
            <w:r w:rsidR="00790FE0" w:rsidRPr="00790FE0">
              <w:rPr>
                <w:rFonts w:ascii="Times New Roman" w:hAnsi="Times New Roman" w:cs="Times New Roman"/>
                <w:sz w:val="24"/>
                <w:szCs w:val="24"/>
              </w:rPr>
              <w:lastRenderedPageBreak/>
              <w:t>allá incluso de las personales que se puedan producir, ya que también del respaldo que reciban las víctimas o posibles víctimas de algún tipo de violencia, dependerá la tutela de sus derechos y la erradicación del miedo bajo el cual omiten denunciar o declarar actos que, según se indicó supra, resultan intolerables dentro de una saludable convivencia.</w:t>
            </w:r>
          </w:p>
        </w:tc>
      </w:tr>
      <w:tr w:rsidR="009C12FD" w:rsidRPr="00741715" w14:paraId="31F7BDB3" w14:textId="77777777" w:rsidTr="00741715">
        <w:tc>
          <w:tcPr>
            <w:tcW w:w="2516" w:type="dxa"/>
            <w:shd w:val="clear" w:color="auto" w:fill="ACB9CA" w:themeFill="text2" w:themeFillTint="66"/>
          </w:tcPr>
          <w:p w14:paraId="2176A05F"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lastRenderedPageBreak/>
              <w:t>Link a resolución:</w:t>
            </w:r>
          </w:p>
        </w:tc>
        <w:tc>
          <w:tcPr>
            <w:tcW w:w="6693" w:type="dxa"/>
            <w:shd w:val="clear" w:color="auto" w:fill="ACB9CA" w:themeFill="text2" w:themeFillTint="66"/>
          </w:tcPr>
          <w:p w14:paraId="5EF32C4F" w14:textId="6E5F82A3" w:rsidR="009C12FD" w:rsidRPr="00741715" w:rsidRDefault="00260DBF" w:rsidP="00741715">
            <w:pPr>
              <w:jc w:val="both"/>
              <w:rPr>
                <w:rFonts w:ascii="Times New Roman" w:hAnsi="Times New Roman" w:cs="Times New Roman"/>
                <w:sz w:val="24"/>
                <w:szCs w:val="24"/>
                <w:lang w:eastAsia="es-CR"/>
              </w:rPr>
            </w:pPr>
            <w:hyperlink r:id="rId11" w:history="1">
              <w:r w:rsidR="00DE3CD4" w:rsidRPr="00741715">
                <w:rPr>
                  <w:rFonts w:ascii="Times New Roman" w:hAnsi="Times New Roman" w:cs="Times New Roman"/>
                  <w:color w:val="0563C1" w:themeColor="hyperlink"/>
                  <w:sz w:val="24"/>
                  <w:szCs w:val="24"/>
                  <w:u w:val="single"/>
                </w:rPr>
                <w:t>https://nexuspj.poder-</w:t>
              </w:r>
              <w:r w:rsidR="00DE3CD4" w:rsidRPr="00741715">
                <w:rPr>
                  <w:rFonts w:ascii="Times New Roman" w:hAnsi="Times New Roman" w:cs="Times New Roman"/>
                  <w:color w:val="0563C1" w:themeColor="hyperlink"/>
                  <w:sz w:val="24"/>
                  <w:szCs w:val="24"/>
                  <w:u w:val="single"/>
                </w:rPr>
                <w:t>j</w:t>
              </w:r>
              <w:r w:rsidR="00DE3CD4" w:rsidRPr="00741715">
                <w:rPr>
                  <w:rFonts w:ascii="Times New Roman" w:hAnsi="Times New Roman" w:cs="Times New Roman"/>
                  <w:color w:val="0563C1" w:themeColor="hyperlink"/>
                  <w:sz w:val="24"/>
                  <w:szCs w:val="24"/>
                  <w:u w:val="single"/>
                </w:rPr>
                <w:t>u</w:t>
              </w:r>
              <w:r w:rsidR="00DE3CD4" w:rsidRPr="00741715">
                <w:rPr>
                  <w:rFonts w:ascii="Times New Roman" w:hAnsi="Times New Roman" w:cs="Times New Roman"/>
                  <w:color w:val="0563C1" w:themeColor="hyperlink"/>
                  <w:sz w:val="24"/>
                  <w:szCs w:val="24"/>
                  <w:u w:val="single"/>
                </w:rPr>
                <w:t>dicial.go.cr/document/sen-1-0007-1015249</w:t>
              </w:r>
            </w:hyperlink>
          </w:p>
        </w:tc>
      </w:tr>
      <w:tr w:rsidR="009C12FD" w:rsidRPr="00741715" w14:paraId="6FD128BA" w14:textId="77777777" w:rsidTr="00741715">
        <w:tc>
          <w:tcPr>
            <w:tcW w:w="2516" w:type="dxa"/>
            <w:shd w:val="clear" w:color="auto" w:fill="44546A" w:themeFill="text2"/>
          </w:tcPr>
          <w:p w14:paraId="08353E31"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7D9FA02F"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6CBE2EDA" w14:textId="77777777" w:rsidTr="00741715">
        <w:tc>
          <w:tcPr>
            <w:tcW w:w="2516" w:type="dxa"/>
            <w:shd w:val="clear" w:color="auto" w:fill="D9E2F3" w:themeFill="accent1" w:themeFillTint="33"/>
          </w:tcPr>
          <w:p w14:paraId="461458F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15A4C249" w14:textId="4BD1B788"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2021004842</w:t>
            </w:r>
          </w:p>
        </w:tc>
      </w:tr>
      <w:tr w:rsidR="009C12FD" w:rsidRPr="00741715" w14:paraId="10956714" w14:textId="77777777" w:rsidTr="00741715">
        <w:tc>
          <w:tcPr>
            <w:tcW w:w="2516" w:type="dxa"/>
          </w:tcPr>
          <w:p w14:paraId="57185436"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5B636E90" w14:textId="3D7483DF" w:rsidR="009C12FD" w:rsidRPr="00741715" w:rsidRDefault="00DE3CD4"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eastAsia="Times New Roman" w:hAnsi="Times New Roman" w:cs="Times New Roman"/>
                <w:color w:val="000000"/>
                <w:sz w:val="24"/>
                <w:szCs w:val="24"/>
                <w:lang w:eastAsia="es-CR"/>
              </w:rPr>
              <w:t>9 de marzo del 2021</w:t>
            </w:r>
          </w:p>
        </w:tc>
      </w:tr>
      <w:tr w:rsidR="009C12FD" w:rsidRPr="00741715" w14:paraId="401BE045" w14:textId="77777777" w:rsidTr="00741715">
        <w:tc>
          <w:tcPr>
            <w:tcW w:w="2516" w:type="dxa"/>
            <w:shd w:val="clear" w:color="auto" w:fill="D9D9D9" w:themeFill="background1" w:themeFillShade="D9"/>
          </w:tcPr>
          <w:p w14:paraId="4EA018CC"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6EE41C3A" w14:textId="10290EC7"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Salud/vacunación</w:t>
            </w:r>
          </w:p>
        </w:tc>
      </w:tr>
      <w:tr w:rsidR="009C12FD" w:rsidRPr="00741715" w14:paraId="767C2FF7" w14:textId="77777777" w:rsidTr="00741715">
        <w:tc>
          <w:tcPr>
            <w:tcW w:w="2516" w:type="dxa"/>
          </w:tcPr>
          <w:p w14:paraId="0877930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6E4F6254" w14:textId="176C554A" w:rsidR="009C12FD" w:rsidRPr="00741715" w:rsidRDefault="00DE3CD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41A016EE" w14:textId="77777777" w:rsidTr="00741715">
        <w:tc>
          <w:tcPr>
            <w:tcW w:w="2516" w:type="dxa"/>
          </w:tcPr>
          <w:p w14:paraId="154915E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2FD96262" w14:textId="54EDAED6" w:rsidR="009C12FD" w:rsidRPr="00741715" w:rsidRDefault="00487946"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 xml:space="preserve">Le suspenden segunda dosis de vacuna a una persona, por estar con orden sanitaria. Se declara sin lugar, por cuanto por razones técnicas, se aplica el total de la vacuna contra el covid-19, posterior al levantamiento de la orden sanitaria. </w:t>
            </w:r>
          </w:p>
        </w:tc>
      </w:tr>
      <w:tr w:rsidR="009C12FD" w:rsidRPr="00741715" w14:paraId="1558E2F3" w14:textId="77777777" w:rsidTr="00741715">
        <w:tc>
          <w:tcPr>
            <w:tcW w:w="2516" w:type="dxa"/>
            <w:shd w:val="clear" w:color="auto" w:fill="ACB9CA" w:themeFill="text2" w:themeFillTint="66"/>
          </w:tcPr>
          <w:p w14:paraId="359C6D5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4D1AB9DB" w14:textId="275A8D52" w:rsidR="009C12FD" w:rsidRPr="00741715" w:rsidRDefault="00260DBF" w:rsidP="00741715">
            <w:pPr>
              <w:jc w:val="both"/>
              <w:rPr>
                <w:rFonts w:ascii="Times New Roman" w:hAnsi="Times New Roman" w:cs="Times New Roman"/>
                <w:sz w:val="24"/>
                <w:szCs w:val="24"/>
                <w:lang w:eastAsia="es-CR"/>
              </w:rPr>
            </w:pPr>
            <w:hyperlink r:id="rId12" w:history="1">
              <w:r w:rsidR="00487946" w:rsidRPr="00741715">
                <w:rPr>
                  <w:rFonts w:ascii="Times New Roman" w:hAnsi="Times New Roman" w:cs="Times New Roman"/>
                  <w:color w:val="0563C1" w:themeColor="hyperlink"/>
                  <w:sz w:val="24"/>
                  <w:szCs w:val="24"/>
                  <w:u w:val="single"/>
                </w:rPr>
                <w:t>https://nexuspj.poder-judicial.go.cr/document/sen-1-0007-1021477</w:t>
              </w:r>
            </w:hyperlink>
          </w:p>
        </w:tc>
      </w:tr>
      <w:tr w:rsidR="009C12FD" w:rsidRPr="00741715" w14:paraId="5C6DF47C" w14:textId="77777777" w:rsidTr="00741715">
        <w:tc>
          <w:tcPr>
            <w:tcW w:w="2516" w:type="dxa"/>
            <w:shd w:val="clear" w:color="auto" w:fill="44546A" w:themeFill="text2"/>
          </w:tcPr>
          <w:p w14:paraId="0E073655"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45BC1B3E"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2D935776" w14:textId="77777777" w:rsidTr="00741715">
        <w:tc>
          <w:tcPr>
            <w:tcW w:w="2516" w:type="dxa"/>
            <w:shd w:val="clear" w:color="auto" w:fill="D9E2F3" w:themeFill="accent1" w:themeFillTint="33"/>
          </w:tcPr>
          <w:p w14:paraId="01492685"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6E577E40" w14:textId="2855EFA1"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2021005484</w:t>
            </w:r>
          </w:p>
        </w:tc>
      </w:tr>
      <w:tr w:rsidR="009C12FD" w:rsidRPr="00741715" w14:paraId="0E75BBB3" w14:textId="77777777" w:rsidTr="00741715">
        <w:tc>
          <w:tcPr>
            <w:tcW w:w="2516" w:type="dxa"/>
          </w:tcPr>
          <w:p w14:paraId="088F12C7"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73D005A7" w14:textId="22A6A3AD" w:rsidR="009C12FD" w:rsidRPr="00741715" w:rsidRDefault="00F31C3E"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eastAsia="Times New Roman" w:hAnsi="Times New Roman" w:cs="Times New Roman"/>
                <w:color w:val="000000"/>
                <w:sz w:val="24"/>
                <w:szCs w:val="24"/>
                <w:lang w:eastAsia="es-CR"/>
              </w:rPr>
              <w:t>12 de marzo del 2021</w:t>
            </w:r>
          </w:p>
        </w:tc>
      </w:tr>
      <w:tr w:rsidR="009C12FD" w:rsidRPr="00741715" w14:paraId="261E489C" w14:textId="77777777" w:rsidTr="00741715">
        <w:tc>
          <w:tcPr>
            <w:tcW w:w="2516" w:type="dxa"/>
            <w:shd w:val="clear" w:color="auto" w:fill="D9D9D9" w:themeFill="background1" w:themeFillShade="D9"/>
          </w:tcPr>
          <w:p w14:paraId="55AE886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23B306F2" w14:textId="7BA6D742"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Minorías</w:t>
            </w:r>
          </w:p>
        </w:tc>
      </w:tr>
      <w:tr w:rsidR="009C12FD" w:rsidRPr="00741715" w14:paraId="318155EE" w14:textId="77777777" w:rsidTr="00741715">
        <w:tc>
          <w:tcPr>
            <w:tcW w:w="2516" w:type="dxa"/>
          </w:tcPr>
          <w:p w14:paraId="72D44237"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53FD2500" w14:textId="4C6AA8CB"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7B7F07CE" w14:textId="77777777" w:rsidTr="00741715">
        <w:tc>
          <w:tcPr>
            <w:tcW w:w="2516" w:type="dxa"/>
          </w:tcPr>
          <w:p w14:paraId="49CA58A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72B7427F" w14:textId="1450819D" w:rsidR="009C12FD" w:rsidRPr="00741715" w:rsidRDefault="00F31C3E" w:rsidP="00741715">
            <w:pPr>
              <w:spacing w:after="160"/>
              <w:jc w:val="both"/>
              <w:rPr>
                <w:rFonts w:ascii="Times New Roman" w:hAnsi="Times New Roman" w:cs="Times New Roman"/>
                <w:sz w:val="24"/>
                <w:szCs w:val="24"/>
              </w:rPr>
            </w:pPr>
            <w:r w:rsidRPr="00741715">
              <w:rPr>
                <w:rFonts w:ascii="Times New Roman" w:hAnsi="Times New Roman" w:cs="Times New Roman"/>
                <w:sz w:val="24"/>
                <w:szCs w:val="24"/>
              </w:rPr>
              <w:t xml:space="preserve">Niegan seguro familiar a pareja del mismo sexo, por falta de años de convivencia. Se declara con lugar, y, se ordena tomar en cuenta el requisito vigente en el ordinal 12 del Reglamento de Seguro de Salud de la CCSS. </w:t>
            </w:r>
          </w:p>
        </w:tc>
      </w:tr>
      <w:tr w:rsidR="009C12FD" w:rsidRPr="00741715" w14:paraId="6BF6FDF8" w14:textId="77777777" w:rsidTr="00741715">
        <w:tc>
          <w:tcPr>
            <w:tcW w:w="2516" w:type="dxa"/>
            <w:shd w:val="clear" w:color="auto" w:fill="ACB9CA" w:themeFill="text2" w:themeFillTint="66"/>
          </w:tcPr>
          <w:p w14:paraId="535B6BD6"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7544D046" w14:textId="503593CB" w:rsidR="009C12FD" w:rsidRPr="00741715" w:rsidRDefault="00F31C3E" w:rsidP="00741715">
            <w:pPr>
              <w:jc w:val="both"/>
              <w:rPr>
                <w:rFonts w:ascii="Times New Roman" w:hAnsi="Times New Roman" w:cs="Times New Roman"/>
                <w:sz w:val="24"/>
                <w:szCs w:val="24"/>
                <w:lang w:eastAsia="es-CR"/>
              </w:rPr>
            </w:pPr>
            <w:r w:rsidRPr="00741715">
              <w:rPr>
                <w:rFonts w:ascii="Times New Roman" w:hAnsi="Times New Roman" w:cs="Times New Roman"/>
                <w:sz w:val="24"/>
                <w:szCs w:val="24"/>
                <w:lang w:eastAsia="es-CR"/>
              </w:rPr>
              <w:t>En redacción</w:t>
            </w:r>
          </w:p>
        </w:tc>
      </w:tr>
      <w:tr w:rsidR="009C12FD" w:rsidRPr="00741715" w14:paraId="746F491C" w14:textId="77777777" w:rsidTr="00741715">
        <w:tc>
          <w:tcPr>
            <w:tcW w:w="2516" w:type="dxa"/>
            <w:shd w:val="clear" w:color="auto" w:fill="44546A" w:themeFill="text2"/>
          </w:tcPr>
          <w:p w14:paraId="7D7A0CB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4E4627BC"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3DFF89FC" w14:textId="77777777" w:rsidTr="00741715">
        <w:tc>
          <w:tcPr>
            <w:tcW w:w="2516" w:type="dxa"/>
            <w:shd w:val="clear" w:color="auto" w:fill="D9E2F3" w:themeFill="accent1" w:themeFillTint="33"/>
          </w:tcPr>
          <w:p w14:paraId="6C54B40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088A5585" w14:textId="3A82F796"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rPr>
              <w:t>2021003288</w:t>
            </w:r>
          </w:p>
        </w:tc>
      </w:tr>
      <w:tr w:rsidR="009C12FD" w:rsidRPr="00741715" w14:paraId="38487508" w14:textId="77777777" w:rsidTr="00741715">
        <w:tc>
          <w:tcPr>
            <w:tcW w:w="2516" w:type="dxa"/>
          </w:tcPr>
          <w:p w14:paraId="0F5D6B02"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0DDED2C5" w14:textId="7529D38E" w:rsidR="009C12FD" w:rsidRPr="00741715" w:rsidRDefault="00F05B91"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19 de febrero del 2021</w:t>
            </w:r>
          </w:p>
        </w:tc>
      </w:tr>
      <w:tr w:rsidR="009C12FD" w:rsidRPr="00741715" w14:paraId="334ACCE6" w14:textId="77777777" w:rsidTr="00741715">
        <w:tc>
          <w:tcPr>
            <w:tcW w:w="2516" w:type="dxa"/>
            <w:shd w:val="clear" w:color="auto" w:fill="D9D9D9" w:themeFill="background1" w:themeFillShade="D9"/>
          </w:tcPr>
          <w:p w14:paraId="4EBE86DA"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7E4835F4" w14:textId="3A7216D0"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Información sensible</w:t>
            </w:r>
          </w:p>
        </w:tc>
      </w:tr>
      <w:tr w:rsidR="009C12FD" w:rsidRPr="00741715" w14:paraId="7435D153" w14:textId="77777777" w:rsidTr="00741715">
        <w:tc>
          <w:tcPr>
            <w:tcW w:w="2516" w:type="dxa"/>
          </w:tcPr>
          <w:p w14:paraId="57A365C0"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lastRenderedPageBreak/>
              <w:t>Tipo de asunto:</w:t>
            </w:r>
          </w:p>
        </w:tc>
        <w:tc>
          <w:tcPr>
            <w:tcW w:w="6693" w:type="dxa"/>
            <w:shd w:val="clear" w:color="auto" w:fill="FFFFFF" w:themeFill="background1"/>
          </w:tcPr>
          <w:p w14:paraId="32835A8E" w14:textId="1E9DFA95" w:rsidR="009C12FD" w:rsidRPr="00741715" w:rsidRDefault="00F31C3E"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Recurso de amparo</w:t>
            </w:r>
          </w:p>
        </w:tc>
      </w:tr>
      <w:tr w:rsidR="009C12FD" w:rsidRPr="00741715" w14:paraId="2AEB7ECB" w14:textId="77777777" w:rsidTr="00741715">
        <w:tc>
          <w:tcPr>
            <w:tcW w:w="2516" w:type="dxa"/>
          </w:tcPr>
          <w:p w14:paraId="4FAC51E4"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tcPr>
          <w:p w14:paraId="20CE71AB" w14:textId="7E59DE92" w:rsidR="009C12FD" w:rsidRPr="00741715" w:rsidRDefault="00F31C3E" w:rsidP="00741715">
            <w:pPr>
              <w:jc w:val="both"/>
              <w:rPr>
                <w:rFonts w:ascii="Times New Roman" w:hAnsi="Times New Roman" w:cs="Times New Roman"/>
                <w:sz w:val="24"/>
                <w:szCs w:val="24"/>
              </w:rPr>
            </w:pPr>
            <w:r w:rsidRPr="00741715">
              <w:rPr>
                <w:rFonts w:ascii="Times New Roman" w:hAnsi="Times New Roman" w:cs="Times New Roman"/>
                <w:sz w:val="24"/>
                <w:szCs w:val="24"/>
              </w:rPr>
              <w:t xml:space="preserve">Se condena al INA por vulnerar la confidencialidad y el resguardo de la información sensible de un funcionario sobre su estado de Salud.  Se ordena a la institución recurrida, que, de forma inmediata emita las disposiciones específicas para hacer cesar este tipo de práctica y resguardar la confidencialidad de sus trabajadores. </w:t>
            </w:r>
          </w:p>
        </w:tc>
      </w:tr>
      <w:tr w:rsidR="009C12FD" w:rsidRPr="00741715" w14:paraId="0B7AE84F" w14:textId="77777777" w:rsidTr="00741715">
        <w:tc>
          <w:tcPr>
            <w:tcW w:w="2516" w:type="dxa"/>
            <w:shd w:val="clear" w:color="auto" w:fill="ACB9CA" w:themeFill="text2" w:themeFillTint="66"/>
          </w:tcPr>
          <w:p w14:paraId="276C0B2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Link a resolución:</w:t>
            </w:r>
          </w:p>
        </w:tc>
        <w:tc>
          <w:tcPr>
            <w:tcW w:w="6693" w:type="dxa"/>
            <w:shd w:val="clear" w:color="auto" w:fill="ACB9CA" w:themeFill="text2" w:themeFillTint="66"/>
          </w:tcPr>
          <w:p w14:paraId="76F40BF0" w14:textId="6F3ECA7B" w:rsidR="009C12FD" w:rsidRPr="00741715" w:rsidRDefault="00260DBF" w:rsidP="00741715">
            <w:pPr>
              <w:jc w:val="both"/>
              <w:rPr>
                <w:rFonts w:ascii="Times New Roman" w:hAnsi="Times New Roman" w:cs="Times New Roman"/>
                <w:sz w:val="24"/>
                <w:szCs w:val="24"/>
                <w:lang w:eastAsia="es-CR"/>
              </w:rPr>
            </w:pPr>
            <w:hyperlink r:id="rId13" w:history="1">
              <w:r w:rsidR="00F31C3E" w:rsidRPr="00741715">
                <w:rPr>
                  <w:rFonts w:ascii="Times New Roman" w:hAnsi="Times New Roman" w:cs="Times New Roman"/>
                  <w:color w:val="0563C1" w:themeColor="hyperlink"/>
                  <w:sz w:val="24"/>
                  <w:szCs w:val="24"/>
                  <w:u w:val="single"/>
                </w:rPr>
                <w:t>https://nexuspj.poder-judicial.go.cr/document/sen-1-0007-1017430</w:t>
              </w:r>
            </w:hyperlink>
          </w:p>
        </w:tc>
      </w:tr>
      <w:tr w:rsidR="009C12FD" w:rsidRPr="00741715" w14:paraId="66B9AF52" w14:textId="77777777" w:rsidTr="00741715">
        <w:tc>
          <w:tcPr>
            <w:tcW w:w="2516" w:type="dxa"/>
            <w:shd w:val="clear" w:color="auto" w:fill="44546A" w:themeFill="text2"/>
          </w:tcPr>
          <w:p w14:paraId="052EC464"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p>
        </w:tc>
        <w:tc>
          <w:tcPr>
            <w:tcW w:w="6693" w:type="dxa"/>
            <w:shd w:val="clear" w:color="auto" w:fill="44546A" w:themeFill="text2"/>
          </w:tcPr>
          <w:p w14:paraId="6E30F1D0" w14:textId="77777777" w:rsidR="009C12FD" w:rsidRPr="00741715" w:rsidRDefault="009C12FD" w:rsidP="00741715">
            <w:pPr>
              <w:jc w:val="both"/>
              <w:rPr>
                <w:rFonts w:ascii="Times New Roman" w:hAnsi="Times New Roman" w:cs="Times New Roman"/>
                <w:sz w:val="24"/>
                <w:szCs w:val="24"/>
                <w:lang w:eastAsia="es-CR"/>
              </w:rPr>
            </w:pPr>
          </w:p>
        </w:tc>
      </w:tr>
      <w:tr w:rsidR="009C12FD" w:rsidRPr="00741715" w14:paraId="3869E7C5" w14:textId="77777777" w:rsidTr="00741715">
        <w:tc>
          <w:tcPr>
            <w:tcW w:w="2516" w:type="dxa"/>
            <w:shd w:val="clear" w:color="auto" w:fill="D9E2F3" w:themeFill="accent1" w:themeFillTint="33"/>
          </w:tcPr>
          <w:p w14:paraId="7C87D93E"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Número de sentencia:</w:t>
            </w:r>
          </w:p>
        </w:tc>
        <w:tc>
          <w:tcPr>
            <w:tcW w:w="6693" w:type="dxa"/>
            <w:shd w:val="clear" w:color="auto" w:fill="D9E2F3" w:themeFill="accent1" w:themeFillTint="33"/>
          </w:tcPr>
          <w:p w14:paraId="02A6146A" w14:textId="7A00C3D7" w:rsidR="009C12FD" w:rsidRPr="00741715" w:rsidRDefault="00E62524" w:rsidP="00741715">
            <w:pPr>
              <w:spacing w:after="100"/>
              <w:jc w:val="both"/>
              <w:rPr>
                <w:rFonts w:ascii="Times New Roman" w:eastAsia="Times New Roman" w:hAnsi="Times New Roman" w:cs="Times New Roman"/>
                <w:sz w:val="24"/>
                <w:szCs w:val="24"/>
                <w:lang w:eastAsia="es-CR"/>
              </w:rPr>
            </w:pPr>
            <w:r w:rsidRPr="00741715">
              <w:rPr>
                <w:rFonts w:ascii="Times New Roman" w:hAnsi="Times New Roman" w:cs="Times New Roman"/>
                <w:sz w:val="24"/>
                <w:szCs w:val="24"/>
                <w:lang w:eastAsia="es-CR"/>
              </w:rPr>
              <w:t>2021005758</w:t>
            </w:r>
          </w:p>
        </w:tc>
      </w:tr>
      <w:tr w:rsidR="009C12FD" w:rsidRPr="00741715" w14:paraId="7F8B7B20" w14:textId="77777777" w:rsidTr="00741715">
        <w:tc>
          <w:tcPr>
            <w:tcW w:w="2516" w:type="dxa"/>
          </w:tcPr>
          <w:p w14:paraId="51ED526D"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Fecha de resolución:</w:t>
            </w:r>
          </w:p>
        </w:tc>
        <w:tc>
          <w:tcPr>
            <w:tcW w:w="6693" w:type="dxa"/>
          </w:tcPr>
          <w:p w14:paraId="187FF29F" w14:textId="652D05E8" w:rsidR="009C12FD" w:rsidRPr="00741715" w:rsidRDefault="00E62524" w:rsidP="00741715">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es-CR"/>
              </w:rPr>
            </w:pPr>
            <w:r w:rsidRPr="00741715">
              <w:rPr>
                <w:rFonts w:ascii="Times New Roman" w:eastAsia="Times New Roman" w:hAnsi="Times New Roman" w:cs="Times New Roman"/>
                <w:color w:val="000000"/>
                <w:sz w:val="24"/>
                <w:szCs w:val="24"/>
                <w:lang w:eastAsia="es-CR"/>
              </w:rPr>
              <w:t>19 de marzo del 2021</w:t>
            </w:r>
          </w:p>
        </w:tc>
      </w:tr>
      <w:tr w:rsidR="009C12FD" w:rsidRPr="00741715" w14:paraId="2904344D" w14:textId="77777777" w:rsidTr="00741715">
        <w:tc>
          <w:tcPr>
            <w:tcW w:w="2516" w:type="dxa"/>
            <w:shd w:val="clear" w:color="auto" w:fill="D9D9D9" w:themeFill="background1" w:themeFillShade="D9"/>
          </w:tcPr>
          <w:p w14:paraId="24FF71C3"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Temática:</w:t>
            </w:r>
          </w:p>
        </w:tc>
        <w:tc>
          <w:tcPr>
            <w:tcW w:w="6693" w:type="dxa"/>
            <w:shd w:val="clear" w:color="auto" w:fill="D9D9D9" w:themeFill="background1" w:themeFillShade="D9"/>
          </w:tcPr>
          <w:p w14:paraId="76BC187C" w14:textId="6E8A1349" w:rsidR="009C12FD" w:rsidRPr="00741715" w:rsidRDefault="00E6252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Convenio</w:t>
            </w:r>
          </w:p>
        </w:tc>
      </w:tr>
      <w:tr w:rsidR="009C12FD" w:rsidRPr="00741715" w14:paraId="3DA53E1C" w14:textId="77777777" w:rsidTr="00741715">
        <w:tc>
          <w:tcPr>
            <w:tcW w:w="2516" w:type="dxa"/>
          </w:tcPr>
          <w:p w14:paraId="21572D24" w14:textId="77777777" w:rsidR="009C12FD" w:rsidRPr="00741715" w:rsidRDefault="009C12FD"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Tipo de asunto:</w:t>
            </w:r>
          </w:p>
        </w:tc>
        <w:tc>
          <w:tcPr>
            <w:tcW w:w="6693" w:type="dxa"/>
          </w:tcPr>
          <w:p w14:paraId="286B7647" w14:textId="5C951CD5" w:rsidR="009C12FD" w:rsidRPr="00741715" w:rsidRDefault="00E6252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Consulta legislativa</w:t>
            </w:r>
          </w:p>
        </w:tc>
      </w:tr>
      <w:tr w:rsidR="00E62524" w:rsidRPr="00741715" w14:paraId="451125E0" w14:textId="77777777" w:rsidTr="00741715">
        <w:tc>
          <w:tcPr>
            <w:tcW w:w="2516" w:type="dxa"/>
          </w:tcPr>
          <w:p w14:paraId="074C9A7B" w14:textId="77777777" w:rsidR="00E62524" w:rsidRPr="00741715" w:rsidRDefault="00E62524" w:rsidP="00741715">
            <w:pPr>
              <w:spacing w:after="100"/>
              <w:jc w:val="both"/>
              <w:rPr>
                <w:rFonts w:ascii="Times New Roman" w:eastAsia="Times New Roman" w:hAnsi="Times New Roman" w:cs="Times New Roman"/>
                <w:sz w:val="24"/>
                <w:szCs w:val="24"/>
                <w:lang w:eastAsia="es-CR"/>
              </w:rPr>
            </w:pPr>
            <w:r w:rsidRPr="00741715">
              <w:rPr>
                <w:rFonts w:ascii="Times New Roman" w:eastAsia="Times New Roman" w:hAnsi="Times New Roman" w:cs="Times New Roman"/>
                <w:sz w:val="24"/>
                <w:szCs w:val="24"/>
                <w:lang w:eastAsia="es-CR"/>
              </w:rPr>
              <w:t>Resumen:</w:t>
            </w:r>
          </w:p>
        </w:tc>
        <w:tc>
          <w:tcPr>
            <w:tcW w:w="6693" w:type="dxa"/>
            <w:vAlign w:val="center"/>
          </w:tcPr>
          <w:p w14:paraId="20CF2026" w14:textId="2790169A" w:rsidR="00E62524" w:rsidRPr="00741715" w:rsidRDefault="00E62524" w:rsidP="00741715">
            <w:pPr>
              <w:jc w:val="both"/>
              <w:rPr>
                <w:rFonts w:ascii="Times New Roman" w:hAnsi="Times New Roman" w:cs="Times New Roman"/>
                <w:sz w:val="24"/>
                <w:szCs w:val="24"/>
                <w:lang w:eastAsia="es-CR"/>
              </w:rPr>
            </w:pPr>
            <w:r w:rsidRPr="00741715">
              <w:rPr>
                <w:rFonts w:ascii="Times New Roman" w:hAnsi="Times New Roman" w:cs="Times New Roman"/>
                <w:sz w:val="24"/>
                <w:szCs w:val="24"/>
                <w:lang w:eastAsia="es-CR"/>
              </w:rPr>
              <w:t>Norma impugnada: Aprobación del Convenio del Consejo de Europa contra el Tráfico de Órganos Humanos. Expediente Legislativo NO. 21.450</w:t>
            </w:r>
            <w:r w:rsidRPr="00741715">
              <w:rPr>
                <w:rFonts w:ascii="Times New Roman" w:hAnsi="Times New Roman" w:cs="Times New Roman"/>
                <w:sz w:val="24"/>
                <w:szCs w:val="24"/>
                <w:lang w:eastAsia="es-CR"/>
              </w:rPr>
              <w:br/>
              <w:t>Parte dispositiva: Se evacua esta consulta legislativa preceptiva de constitucionalidad, en el sentido de que con motivo del trámite del proyecto de ley denominado "Aprobación del Convenio del Consejo de Europa contra el Tráfico de Órganos Humanos”, expediente legislativo número 21.450, no se ha producido ningún vicio constitucional de forma ni de fondo. Comuníquese.</w:t>
            </w:r>
          </w:p>
        </w:tc>
      </w:tr>
    </w:tbl>
    <w:p w14:paraId="2CA78BFE" w14:textId="6A8DD099" w:rsidR="009C12FD" w:rsidRPr="00741715" w:rsidRDefault="009C12FD" w:rsidP="00741715">
      <w:pPr>
        <w:jc w:val="both"/>
        <w:rPr>
          <w:rFonts w:ascii="Times New Roman" w:hAnsi="Times New Roman" w:cs="Times New Roman"/>
          <w:sz w:val="24"/>
          <w:szCs w:val="24"/>
        </w:rPr>
      </w:pPr>
    </w:p>
    <w:p w14:paraId="7BD304B2" w14:textId="77777777" w:rsidR="009C12FD" w:rsidRPr="00741715" w:rsidRDefault="009C12FD" w:rsidP="00741715">
      <w:pPr>
        <w:jc w:val="both"/>
        <w:rPr>
          <w:rFonts w:ascii="Times New Roman" w:hAnsi="Times New Roman" w:cs="Times New Roman"/>
          <w:sz w:val="24"/>
          <w:szCs w:val="24"/>
        </w:rPr>
      </w:pPr>
    </w:p>
    <w:sectPr w:rsidR="009C12FD" w:rsidRPr="007417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F3586"/>
    <w:multiLevelType w:val="hybridMultilevel"/>
    <w:tmpl w:val="2C5AC6FC"/>
    <w:lvl w:ilvl="0" w:tplc="F49830E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FD"/>
    <w:rsid w:val="000C7272"/>
    <w:rsid w:val="001659A0"/>
    <w:rsid w:val="00260DBF"/>
    <w:rsid w:val="00332E5F"/>
    <w:rsid w:val="00487946"/>
    <w:rsid w:val="00741715"/>
    <w:rsid w:val="00790FE0"/>
    <w:rsid w:val="009C12FD"/>
    <w:rsid w:val="00B72C4D"/>
    <w:rsid w:val="00DC4F6B"/>
    <w:rsid w:val="00DE3CD4"/>
    <w:rsid w:val="00E06255"/>
    <w:rsid w:val="00E62524"/>
    <w:rsid w:val="00F05B91"/>
    <w:rsid w:val="00F31C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6A25"/>
  <w15:chartTrackingRefBased/>
  <w15:docId w15:val="{F1E8A2DE-199A-45AA-B214-4F83F609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F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2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rsid w:val="00B72C4D"/>
    <w:rPr>
      <w:color w:val="339999"/>
      <w:u w:val="single"/>
    </w:rPr>
  </w:style>
  <w:style w:type="character" w:styleId="Hipervnculovisitado">
    <w:name w:val="FollowedHyperlink"/>
    <w:basedOn w:val="Fuentedeprrafopredeter"/>
    <w:uiPriority w:val="99"/>
    <w:semiHidden/>
    <w:unhideWhenUsed/>
    <w:rsid w:val="00B72C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uspj.poder-judicial.go.cr/document/sen-1-0007-1015468" TargetMode="External"/><Relationship Id="rId13" Type="http://schemas.openxmlformats.org/officeDocument/2006/relationships/hyperlink" Target="https://nexuspj.poder-judicial.go.cr/document/sen-1-0007-1017430" TargetMode="External"/><Relationship Id="rId3" Type="http://schemas.openxmlformats.org/officeDocument/2006/relationships/styles" Target="styles.xml"/><Relationship Id="rId7" Type="http://schemas.openxmlformats.org/officeDocument/2006/relationships/hyperlink" Target="https://nexuspj.poder-judicial.go.cr/document/sen-1-0007-1014453" TargetMode="External"/><Relationship Id="rId12" Type="http://schemas.openxmlformats.org/officeDocument/2006/relationships/hyperlink" Target="https://nexuspj.poder-judicial.go.cr/document/sen-1-0007-1021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exuspj.poder-judicial.go.cr/document/sen-1-0007-10152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xuspj.poder-judicial.go.cr/document/sen-1-0007-1020127" TargetMode="External"/><Relationship Id="rId4" Type="http://schemas.openxmlformats.org/officeDocument/2006/relationships/settings" Target="settings.xml"/><Relationship Id="rId9" Type="http://schemas.openxmlformats.org/officeDocument/2006/relationships/hyperlink" Target="https://nexuspj.poder-judicial.go.cr/document/sen-1-0007-101977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47A4-D714-426B-938D-D291F9D1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Mata Blanco</dc:creator>
  <cp:keywords/>
  <dc:description/>
  <cp:lastModifiedBy>Alonso Mata Blanco</cp:lastModifiedBy>
  <cp:revision>2</cp:revision>
  <dcterms:created xsi:type="dcterms:W3CDTF">2021-04-05T20:10:00Z</dcterms:created>
  <dcterms:modified xsi:type="dcterms:W3CDTF">2021-04-05T20:10:00Z</dcterms:modified>
</cp:coreProperties>
</file>