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8159F" w14:textId="77777777" w:rsidR="00EE7E55" w:rsidRDefault="00EE7E55" w:rsidP="00EE7E55">
      <w:r>
        <w:rPr>
          <w:noProof/>
          <w:lang w:eastAsia="es-CR"/>
        </w:rPr>
        <w:drawing>
          <wp:inline distT="0" distB="0" distL="0" distR="0" wp14:anchorId="0D97D881" wp14:editId="15598A28">
            <wp:extent cx="5608320" cy="2078990"/>
            <wp:effectExtent l="19050" t="0" r="0" b="0"/>
            <wp:docPr id="1" name="Imagen 1" descr="C:\Users\amatab\Desktop\en desarrollo\artesgraficas\Sala Constitucional facebook_Mesa de trabaj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tab\Desktop\en desarrollo\artesgraficas\Sala Constitucional facebook_Mesa de trabajo 1.jpg"/>
                    <pic:cNvPicPr>
                      <a:picLocks noChangeAspect="1" noChangeArrowheads="1"/>
                    </pic:cNvPicPr>
                  </pic:nvPicPr>
                  <pic:blipFill>
                    <a:blip r:embed="rId7" cstate="print"/>
                    <a:srcRect/>
                    <a:stretch>
                      <a:fillRect/>
                    </a:stretch>
                  </pic:blipFill>
                  <pic:spPr bwMode="auto">
                    <a:xfrm>
                      <a:off x="0" y="0"/>
                      <a:ext cx="5608320" cy="2078990"/>
                    </a:xfrm>
                    <a:prstGeom prst="rect">
                      <a:avLst/>
                    </a:prstGeom>
                    <a:noFill/>
                    <a:ln w="9525">
                      <a:noFill/>
                      <a:miter lim="800000"/>
                      <a:headEnd/>
                      <a:tailEnd/>
                    </a:ln>
                  </pic:spPr>
                </pic:pic>
              </a:graphicData>
            </a:graphic>
          </wp:inline>
        </w:drawing>
      </w:r>
    </w:p>
    <w:tbl>
      <w:tblPr>
        <w:tblStyle w:val="Tablaconcuadrcula"/>
        <w:tblW w:w="8784" w:type="dxa"/>
        <w:tblLook w:val="04A0" w:firstRow="1" w:lastRow="0" w:firstColumn="1" w:lastColumn="0" w:noHBand="0" w:noVBand="1"/>
      </w:tblPr>
      <w:tblGrid>
        <w:gridCol w:w="1399"/>
        <w:gridCol w:w="7429"/>
      </w:tblGrid>
      <w:tr w:rsidR="00EE7E55" w:rsidRPr="00F022E7" w14:paraId="5709151C" w14:textId="77777777" w:rsidTr="00463F97">
        <w:tc>
          <w:tcPr>
            <w:tcW w:w="8784" w:type="dxa"/>
            <w:gridSpan w:val="2"/>
            <w:shd w:val="clear" w:color="auto" w:fill="2F5496" w:themeFill="accent1" w:themeFillShade="BF"/>
          </w:tcPr>
          <w:p w14:paraId="64421AC0" w14:textId="16041D3E" w:rsidR="00EE7E55" w:rsidRPr="00EA52E0" w:rsidRDefault="00EE7E55" w:rsidP="00326A6C">
            <w:pPr>
              <w:jc w:val="center"/>
              <w:rPr>
                <w:rFonts w:ascii="Arial" w:hAnsi="Arial" w:cs="Arial"/>
                <w:b/>
                <w:color w:val="FFFF00"/>
                <w:sz w:val="36"/>
                <w:szCs w:val="36"/>
              </w:rPr>
            </w:pPr>
            <w:r w:rsidRPr="00EA52E0">
              <w:rPr>
                <w:rFonts w:ascii="Arial" w:hAnsi="Arial" w:cs="Arial"/>
                <w:b/>
                <w:color w:val="FFFF00"/>
                <w:sz w:val="36"/>
                <w:szCs w:val="36"/>
              </w:rPr>
              <w:t>Sentencias relevantes de la Sala Constitucional #</w:t>
            </w:r>
            <w:r>
              <w:rPr>
                <w:rFonts w:ascii="Arial" w:hAnsi="Arial" w:cs="Arial"/>
                <w:b/>
                <w:color w:val="FFFF00"/>
                <w:sz w:val="36"/>
                <w:szCs w:val="36"/>
              </w:rPr>
              <w:t>1</w:t>
            </w:r>
            <w:r w:rsidR="00464FC5">
              <w:rPr>
                <w:rFonts w:ascii="Arial" w:hAnsi="Arial" w:cs="Arial"/>
                <w:b/>
                <w:color w:val="FFFF00"/>
                <w:sz w:val="36"/>
                <w:szCs w:val="36"/>
              </w:rPr>
              <w:t>4</w:t>
            </w:r>
            <w:r w:rsidRPr="00EA52E0">
              <w:rPr>
                <w:rFonts w:ascii="Arial" w:hAnsi="Arial" w:cs="Arial"/>
                <w:b/>
                <w:color w:val="FFFF00"/>
                <w:sz w:val="36"/>
                <w:szCs w:val="36"/>
              </w:rPr>
              <w:t xml:space="preserve">- Edición </w:t>
            </w:r>
            <w:r w:rsidR="00464FC5">
              <w:rPr>
                <w:rFonts w:ascii="Arial" w:hAnsi="Arial" w:cs="Arial"/>
                <w:b/>
                <w:color w:val="FFFF00"/>
                <w:sz w:val="36"/>
                <w:szCs w:val="36"/>
              </w:rPr>
              <w:t>julio</w:t>
            </w:r>
            <w:r w:rsidRPr="00EA52E0">
              <w:rPr>
                <w:rFonts w:ascii="Arial" w:hAnsi="Arial" w:cs="Arial"/>
                <w:b/>
                <w:color w:val="FFFF00"/>
                <w:sz w:val="36"/>
                <w:szCs w:val="36"/>
              </w:rPr>
              <w:t xml:space="preserve"> 2020</w:t>
            </w:r>
          </w:p>
        </w:tc>
      </w:tr>
      <w:tr w:rsidR="00EE7E55" w:rsidRPr="00F022E7" w14:paraId="2F86484B" w14:textId="77777777" w:rsidTr="00463F97">
        <w:tc>
          <w:tcPr>
            <w:tcW w:w="8784" w:type="dxa"/>
            <w:gridSpan w:val="2"/>
            <w:shd w:val="clear" w:color="auto" w:fill="BFBFBF" w:themeFill="background1" w:themeFillShade="BF"/>
          </w:tcPr>
          <w:p w14:paraId="127BB974" w14:textId="77777777" w:rsidR="00EE7E55" w:rsidRPr="003011C7" w:rsidRDefault="00EE7E55" w:rsidP="00326A6C">
            <w:pPr>
              <w:jc w:val="both"/>
              <w:rPr>
                <w:rFonts w:ascii="Times New Roman" w:hAnsi="Times New Roman" w:cs="Times New Roman"/>
                <w:sz w:val="24"/>
                <w:szCs w:val="24"/>
              </w:rPr>
            </w:pPr>
          </w:p>
        </w:tc>
      </w:tr>
      <w:tr w:rsidR="00463F97" w:rsidRPr="00463F97" w14:paraId="30146A67" w14:textId="77777777" w:rsidTr="00463F97">
        <w:tc>
          <w:tcPr>
            <w:tcW w:w="1456" w:type="dxa"/>
            <w:shd w:val="clear" w:color="auto" w:fill="D9E2F3" w:themeFill="accent1" w:themeFillTint="33"/>
          </w:tcPr>
          <w:p w14:paraId="4D904514" w14:textId="77777777" w:rsidR="00EE7E55" w:rsidRPr="00463F97" w:rsidRDefault="00EE7E5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Número de sentencia:</w:t>
            </w:r>
          </w:p>
        </w:tc>
        <w:tc>
          <w:tcPr>
            <w:tcW w:w="7328" w:type="dxa"/>
            <w:shd w:val="clear" w:color="auto" w:fill="D9E2F3" w:themeFill="accent1" w:themeFillTint="33"/>
          </w:tcPr>
          <w:p w14:paraId="32B6F652" w14:textId="293DED27" w:rsidR="00EE7E55" w:rsidRPr="00463F97" w:rsidRDefault="00464FC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2020-009188</w:t>
            </w:r>
          </w:p>
        </w:tc>
      </w:tr>
      <w:tr w:rsidR="00463F97" w:rsidRPr="00463F97" w14:paraId="31236CE3" w14:textId="77777777" w:rsidTr="00463F97">
        <w:tc>
          <w:tcPr>
            <w:tcW w:w="1456" w:type="dxa"/>
            <w:shd w:val="clear" w:color="auto" w:fill="FFFFFF" w:themeFill="background1"/>
          </w:tcPr>
          <w:p w14:paraId="1A42B741" w14:textId="77777777" w:rsidR="00EE7E55" w:rsidRPr="00463F97" w:rsidRDefault="00EE7E5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Fecha de resolución:</w:t>
            </w:r>
          </w:p>
        </w:tc>
        <w:tc>
          <w:tcPr>
            <w:tcW w:w="7328" w:type="dxa"/>
            <w:shd w:val="clear" w:color="auto" w:fill="FFFFFF" w:themeFill="background1"/>
          </w:tcPr>
          <w:p w14:paraId="0C7CF72F" w14:textId="608FCF8F" w:rsidR="00EE7E55" w:rsidRPr="00463F97" w:rsidRDefault="00464FC5" w:rsidP="00463F97">
            <w:pPr>
              <w:shd w:val="clear" w:color="auto" w:fill="FFFFFF"/>
              <w:spacing w:before="100" w:beforeAutospacing="1" w:after="100" w:afterAutospacing="1"/>
              <w:jc w:val="both"/>
              <w:rPr>
                <w:rFonts w:ascii="Times New Roman" w:eastAsia="Times New Roman" w:hAnsi="Times New Roman" w:cs="Times New Roman"/>
                <w:bCs/>
                <w:color w:val="000000"/>
                <w:sz w:val="24"/>
                <w:szCs w:val="24"/>
                <w:highlight w:val="yellow"/>
                <w:lang w:eastAsia="es-CR"/>
              </w:rPr>
            </w:pPr>
            <w:r w:rsidRPr="00463F97">
              <w:rPr>
                <w:rFonts w:ascii="Times New Roman" w:eastAsia="Times New Roman" w:hAnsi="Times New Roman" w:cs="Times New Roman"/>
                <w:bCs/>
                <w:color w:val="222222"/>
                <w:sz w:val="24"/>
                <w:szCs w:val="24"/>
                <w:lang w:eastAsia="es-CR"/>
              </w:rPr>
              <w:t>21 de mayo del 2020</w:t>
            </w:r>
          </w:p>
        </w:tc>
      </w:tr>
      <w:tr w:rsidR="00463F97" w:rsidRPr="00463F97" w14:paraId="20AAD117" w14:textId="77777777" w:rsidTr="00463F97">
        <w:tc>
          <w:tcPr>
            <w:tcW w:w="1456" w:type="dxa"/>
            <w:shd w:val="clear" w:color="auto" w:fill="D9D9D9" w:themeFill="background1" w:themeFillShade="D9"/>
          </w:tcPr>
          <w:p w14:paraId="37151DC0" w14:textId="77777777" w:rsidR="00EE7E55" w:rsidRPr="00463F97" w:rsidRDefault="00EE7E5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Temática:</w:t>
            </w:r>
          </w:p>
        </w:tc>
        <w:tc>
          <w:tcPr>
            <w:tcW w:w="7328" w:type="dxa"/>
            <w:shd w:val="clear" w:color="auto" w:fill="D9D9D9" w:themeFill="background1" w:themeFillShade="D9"/>
          </w:tcPr>
          <w:p w14:paraId="40232E0F" w14:textId="2383F8A8" w:rsidR="00EE7E55" w:rsidRPr="00463F97" w:rsidRDefault="00305C09"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Salario escolar</w:t>
            </w:r>
          </w:p>
        </w:tc>
      </w:tr>
      <w:tr w:rsidR="00463F97" w:rsidRPr="00463F97" w14:paraId="0C9A9CEA" w14:textId="77777777" w:rsidTr="00463F97">
        <w:tc>
          <w:tcPr>
            <w:tcW w:w="1456" w:type="dxa"/>
            <w:shd w:val="clear" w:color="auto" w:fill="8EAADB" w:themeFill="accent1" w:themeFillTint="99"/>
          </w:tcPr>
          <w:p w14:paraId="54241873" w14:textId="77777777" w:rsidR="00EE7E55" w:rsidRPr="00463F97" w:rsidRDefault="00EE7E5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Tipo de asunto:</w:t>
            </w:r>
          </w:p>
        </w:tc>
        <w:tc>
          <w:tcPr>
            <w:tcW w:w="7328" w:type="dxa"/>
            <w:shd w:val="clear" w:color="auto" w:fill="8EAADB" w:themeFill="accent1" w:themeFillTint="99"/>
          </w:tcPr>
          <w:p w14:paraId="07CADD5B" w14:textId="5246AD94" w:rsidR="00EE7E55" w:rsidRPr="00463F97" w:rsidRDefault="00464FC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Acción de inconstitucionalidad</w:t>
            </w:r>
          </w:p>
        </w:tc>
      </w:tr>
      <w:tr w:rsidR="00463F97" w:rsidRPr="00463F97" w14:paraId="58516A2E" w14:textId="77777777" w:rsidTr="00463F97">
        <w:tc>
          <w:tcPr>
            <w:tcW w:w="1456" w:type="dxa"/>
          </w:tcPr>
          <w:p w14:paraId="228280F8" w14:textId="77777777" w:rsidR="00EE7E55" w:rsidRPr="00463F97" w:rsidRDefault="00EE7E5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Resumen:</w:t>
            </w:r>
          </w:p>
        </w:tc>
        <w:tc>
          <w:tcPr>
            <w:tcW w:w="7328" w:type="dxa"/>
          </w:tcPr>
          <w:p w14:paraId="039A7A45" w14:textId="08B0265A" w:rsidR="00EE7E55" w:rsidRPr="00463F97" w:rsidRDefault="00305C09" w:rsidP="00463F97">
            <w:pPr>
              <w:spacing w:after="0"/>
              <w:jc w:val="both"/>
              <w:rPr>
                <w:rFonts w:ascii="Times New Roman" w:hAnsi="Times New Roman" w:cs="Times New Roman"/>
                <w:bCs/>
                <w:sz w:val="24"/>
                <w:szCs w:val="24"/>
              </w:rPr>
            </w:pPr>
            <w:r w:rsidRPr="00463F97">
              <w:rPr>
                <w:rFonts w:ascii="Times New Roman" w:eastAsia="Times New Roman" w:hAnsi="Times New Roman" w:cs="Times New Roman"/>
                <w:bCs/>
                <w:color w:val="000000"/>
                <w:sz w:val="24"/>
                <w:szCs w:val="24"/>
              </w:rPr>
              <w:t xml:space="preserve">El accionante impugna </w:t>
            </w:r>
            <w:r w:rsidRPr="00463F97">
              <w:rPr>
                <w:rFonts w:ascii="Times New Roman" w:eastAsia="Times New Roman" w:hAnsi="Times New Roman" w:cs="Times New Roman"/>
                <w:bCs/>
                <w:color w:val="000000"/>
                <w:sz w:val="24"/>
                <w:szCs w:val="24"/>
              </w:rPr>
              <w:t xml:space="preserve">acuerdos </w:t>
            </w:r>
            <w:r w:rsidRPr="00463F97">
              <w:rPr>
                <w:rFonts w:ascii="Times New Roman" w:eastAsia="Times New Roman" w:hAnsi="Times New Roman" w:cs="Times New Roman"/>
                <w:bCs/>
                <w:color w:val="000000"/>
                <w:sz w:val="24"/>
                <w:szCs w:val="24"/>
              </w:rPr>
              <w:t>que regulan el pago del salario escolar</w:t>
            </w:r>
            <w:r w:rsidR="00463F97">
              <w:rPr>
                <w:rFonts w:ascii="Times New Roman" w:eastAsia="Times New Roman" w:hAnsi="Times New Roman" w:cs="Times New Roman"/>
                <w:bCs/>
                <w:color w:val="000000"/>
                <w:sz w:val="24"/>
                <w:szCs w:val="24"/>
              </w:rPr>
              <w:t>.</w:t>
            </w:r>
            <w:r w:rsidRPr="00463F97">
              <w:rPr>
                <w:rFonts w:ascii="Times New Roman" w:hAnsi="Times New Roman" w:cs="Times New Roman"/>
                <w:bCs/>
                <w:sz w:val="24"/>
                <w:szCs w:val="24"/>
                <w:lang w:val="es-ES"/>
              </w:rPr>
              <w:t xml:space="preserve"> </w:t>
            </w:r>
            <w:r w:rsidRPr="00463F97">
              <w:rPr>
                <w:rFonts w:ascii="Times New Roman" w:hAnsi="Times New Roman" w:cs="Times New Roman"/>
                <w:bCs/>
                <w:sz w:val="24"/>
                <w:szCs w:val="24"/>
                <w:lang w:val="es-ES"/>
              </w:rPr>
              <w:t>De forma unánime</w:t>
            </w:r>
            <w:r w:rsidRPr="00463F97">
              <w:rPr>
                <w:rFonts w:ascii="Times New Roman" w:eastAsia="Times New Roman" w:hAnsi="Times New Roman" w:cs="Times New Roman"/>
                <w:bCs/>
                <w:color w:val="000000"/>
                <w:sz w:val="24"/>
                <w:szCs w:val="24"/>
              </w:rPr>
              <w:t>, el Tribunal resolvió no darle curso a la acción; pues en el estudio de admisibilidad efectuado concluyó que lo impugnado no violenta ningún principio constitucional o derecho fundamental, al menos en los términos planteados por el accionante.</w:t>
            </w:r>
            <w:r w:rsidRPr="00463F97">
              <w:rPr>
                <w:rFonts w:ascii="Times New Roman" w:eastAsia="Times New Roman" w:hAnsi="Times New Roman" w:cs="Times New Roman"/>
                <w:bCs/>
                <w:color w:val="000000"/>
                <w:sz w:val="24"/>
                <w:szCs w:val="24"/>
              </w:rPr>
              <w:t xml:space="preserve"> </w:t>
            </w:r>
            <w:r w:rsidRPr="00463F97">
              <w:rPr>
                <w:rFonts w:ascii="Times New Roman" w:eastAsia="Times New Roman" w:hAnsi="Times New Roman" w:cs="Times New Roman"/>
                <w:bCs/>
                <w:color w:val="000000"/>
                <w:sz w:val="24"/>
                <w:szCs w:val="24"/>
              </w:rPr>
              <w:t xml:space="preserve">El salario escolar no constituye un pago adicional que la Administración realiza a sus funcionarios, como se alega en la acción, en realidad es un pago por concepto de aumento salarial que constituye –según lo señala el voto número 1998-0722 de este Tribunal– </w:t>
            </w:r>
            <w:r w:rsidRPr="00463F97">
              <w:rPr>
                <w:rFonts w:ascii="Times New Roman" w:eastAsia="Times New Roman" w:hAnsi="Times New Roman" w:cs="Times New Roman"/>
                <w:bCs/>
                <w:i/>
                <w:color w:val="000000"/>
                <w:sz w:val="24"/>
                <w:szCs w:val="24"/>
              </w:rPr>
              <w:t>“una suma que ya se encontraba dentro del patrimonio del trabajador por cuanto ya había sido reconocida por éste e incluida dentro del salario a percibir, sólo que se le paga en forma diferida”.</w:t>
            </w:r>
            <w:r w:rsidRPr="00463F97">
              <w:rPr>
                <w:rFonts w:ascii="Times New Roman" w:eastAsia="Times New Roman" w:hAnsi="Times New Roman" w:cs="Times New Roman"/>
                <w:bCs/>
                <w:color w:val="000000"/>
                <w:sz w:val="24"/>
                <w:szCs w:val="24"/>
              </w:rPr>
              <w:t xml:space="preserve"> </w:t>
            </w:r>
          </w:p>
        </w:tc>
      </w:tr>
      <w:tr w:rsidR="00463F97" w:rsidRPr="00463F97" w14:paraId="42E2A738" w14:textId="77777777" w:rsidTr="00463F97">
        <w:tc>
          <w:tcPr>
            <w:tcW w:w="1456" w:type="dxa"/>
            <w:shd w:val="clear" w:color="auto" w:fill="FFFFFF" w:themeFill="background1"/>
          </w:tcPr>
          <w:p w14:paraId="46633AA1" w14:textId="77777777" w:rsidR="00EE7E55" w:rsidRPr="00463F97" w:rsidRDefault="00EE7E5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Link a resolución:</w:t>
            </w:r>
          </w:p>
        </w:tc>
        <w:tc>
          <w:tcPr>
            <w:tcW w:w="7328" w:type="dxa"/>
            <w:shd w:val="clear" w:color="auto" w:fill="FFFFFF" w:themeFill="background1"/>
          </w:tcPr>
          <w:p w14:paraId="67CD1D1C" w14:textId="1BFD7A3E" w:rsidR="00EE7E55" w:rsidRPr="00463F97" w:rsidRDefault="00305C09" w:rsidP="00463F97">
            <w:pPr>
              <w:jc w:val="both"/>
              <w:rPr>
                <w:rFonts w:ascii="Times New Roman" w:hAnsi="Times New Roman" w:cs="Times New Roman"/>
                <w:bCs/>
                <w:sz w:val="24"/>
                <w:szCs w:val="24"/>
                <w:lang w:eastAsia="es-CR"/>
              </w:rPr>
            </w:pPr>
            <w:hyperlink r:id="rId8" w:history="1">
              <w:r w:rsidRPr="00463F97">
                <w:rPr>
                  <w:rFonts w:ascii="Times New Roman" w:hAnsi="Times New Roman" w:cs="Times New Roman"/>
                  <w:bCs/>
                  <w:color w:val="0000FF"/>
                  <w:sz w:val="24"/>
                  <w:szCs w:val="24"/>
                  <w:u w:val="single"/>
                </w:rPr>
                <w:t>https://nexuspj.poder-judicial.go.cr/document/sen-1-0007-978236</w:t>
              </w:r>
            </w:hyperlink>
          </w:p>
        </w:tc>
      </w:tr>
      <w:tr w:rsidR="00463F97" w:rsidRPr="00463F97" w14:paraId="3FED9DEE" w14:textId="77777777" w:rsidTr="00463F97">
        <w:tc>
          <w:tcPr>
            <w:tcW w:w="1456" w:type="dxa"/>
            <w:shd w:val="clear" w:color="auto" w:fill="D9E2F3" w:themeFill="accent1" w:themeFillTint="33"/>
          </w:tcPr>
          <w:p w14:paraId="0C35E657" w14:textId="77777777" w:rsidR="00EE7E55" w:rsidRPr="00463F97" w:rsidRDefault="00EE7E5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Número de sentencia:</w:t>
            </w:r>
          </w:p>
        </w:tc>
        <w:tc>
          <w:tcPr>
            <w:tcW w:w="7328" w:type="dxa"/>
            <w:shd w:val="clear" w:color="auto" w:fill="D9E2F3" w:themeFill="accent1" w:themeFillTint="33"/>
          </w:tcPr>
          <w:p w14:paraId="0AD246AA" w14:textId="2AB79BF5" w:rsidR="00EE7E55" w:rsidRPr="00463F97" w:rsidRDefault="00A15137" w:rsidP="00463F97">
            <w:pPr>
              <w:spacing w:after="100"/>
              <w:jc w:val="both"/>
              <w:rPr>
                <w:rFonts w:ascii="Times New Roman" w:eastAsia="Times New Roman" w:hAnsi="Times New Roman" w:cs="Times New Roman"/>
                <w:bCs/>
                <w:sz w:val="24"/>
                <w:szCs w:val="24"/>
                <w:lang w:eastAsia="es-CR"/>
              </w:rPr>
            </w:pPr>
            <w:r w:rsidRPr="00463F97">
              <w:rPr>
                <w:rFonts w:ascii="Times New Roman" w:hAnsi="Times New Roman" w:cs="Times New Roman"/>
                <w:bCs/>
                <w:sz w:val="24"/>
                <w:szCs w:val="24"/>
              </w:rPr>
              <w:t>2020-10160</w:t>
            </w:r>
          </w:p>
        </w:tc>
      </w:tr>
      <w:tr w:rsidR="00463F97" w:rsidRPr="00463F97" w14:paraId="70476B12" w14:textId="77777777" w:rsidTr="00463F97">
        <w:tc>
          <w:tcPr>
            <w:tcW w:w="1456" w:type="dxa"/>
          </w:tcPr>
          <w:p w14:paraId="19D099D1" w14:textId="77777777" w:rsidR="00EE7E55" w:rsidRPr="00463F97" w:rsidRDefault="00EE7E5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lastRenderedPageBreak/>
              <w:t>Fecha de resolución:</w:t>
            </w:r>
          </w:p>
        </w:tc>
        <w:tc>
          <w:tcPr>
            <w:tcW w:w="7328" w:type="dxa"/>
          </w:tcPr>
          <w:p w14:paraId="72A99F0B" w14:textId="64745781" w:rsidR="00EE7E55" w:rsidRPr="00463F97" w:rsidRDefault="00A15137" w:rsidP="00463F97">
            <w:pPr>
              <w:shd w:val="clear" w:color="auto" w:fill="FFFFFF"/>
              <w:spacing w:before="100" w:beforeAutospacing="1" w:after="100" w:afterAutospacing="1"/>
              <w:jc w:val="both"/>
              <w:rPr>
                <w:rFonts w:ascii="Times New Roman" w:eastAsia="Times New Roman" w:hAnsi="Times New Roman" w:cs="Times New Roman"/>
                <w:bCs/>
                <w:color w:val="000000"/>
                <w:sz w:val="24"/>
                <w:szCs w:val="24"/>
                <w:highlight w:val="yellow"/>
                <w:lang w:eastAsia="es-CR"/>
              </w:rPr>
            </w:pPr>
            <w:r w:rsidRPr="00463F97">
              <w:rPr>
                <w:rFonts w:ascii="Times New Roman" w:eastAsia="Times New Roman" w:hAnsi="Times New Roman" w:cs="Times New Roman"/>
                <w:bCs/>
                <w:color w:val="222222"/>
                <w:sz w:val="24"/>
                <w:szCs w:val="24"/>
                <w:lang w:eastAsia="es-CR"/>
              </w:rPr>
              <w:t>3 de junio del 2020</w:t>
            </w:r>
          </w:p>
        </w:tc>
      </w:tr>
      <w:tr w:rsidR="00463F97" w:rsidRPr="00463F97" w14:paraId="3D41D69D" w14:textId="77777777" w:rsidTr="00463F97">
        <w:tc>
          <w:tcPr>
            <w:tcW w:w="1456" w:type="dxa"/>
            <w:shd w:val="clear" w:color="auto" w:fill="D9D9D9" w:themeFill="background1" w:themeFillShade="D9"/>
          </w:tcPr>
          <w:p w14:paraId="7EE377F6" w14:textId="77777777" w:rsidR="00EE7E55" w:rsidRPr="00463F97" w:rsidRDefault="00EE7E5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Temática:</w:t>
            </w:r>
          </w:p>
        </w:tc>
        <w:tc>
          <w:tcPr>
            <w:tcW w:w="7328" w:type="dxa"/>
            <w:shd w:val="clear" w:color="auto" w:fill="D9D9D9" w:themeFill="background1" w:themeFillShade="D9"/>
          </w:tcPr>
          <w:p w14:paraId="777E2441" w14:textId="44262CB1" w:rsidR="00EE7E55" w:rsidRPr="00463F97" w:rsidRDefault="00A15137"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Comercio</w:t>
            </w:r>
          </w:p>
        </w:tc>
      </w:tr>
      <w:tr w:rsidR="00463F97" w:rsidRPr="00463F97" w14:paraId="70FF138C" w14:textId="77777777" w:rsidTr="00463F97">
        <w:tc>
          <w:tcPr>
            <w:tcW w:w="1456" w:type="dxa"/>
            <w:shd w:val="clear" w:color="auto" w:fill="8EAADB" w:themeFill="accent1" w:themeFillTint="99"/>
          </w:tcPr>
          <w:p w14:paraId="21D30866" w14:textId="77777777" w:rsidR="00EE7E55" w:rsidRPr="00463F97" w:rsidRDefault="00EE7E5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Tipo de asunto:</w:t>
            </w:r>
          </w:p>
        </w:tc>
        <w:tc>
          <w:tcPr>
            <w:tcW w:w="7328" w:type="dxa"/>
            <w:shd w:val="clear" w:color="auto" w:fill="8EAADB" w:themeFill="accent1" w:themeFillTint="99"/>
          </w:tcPr>
          <w:p w14:paraId="37F5EFD8" w14:textId="019A6180" w:rsidR="00EE7E55" w:rsidRPr="00463F97" w:rsidRDefault="00A15137"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Consulta legislativa</w:t>
            </w:r>
          </w:p>
        </w:tc>
      </w:tr>
      <w:tr w:rsidR="00463F97" w:rsidRPr="00463F97" w14:paraId="3CE5A273" w14:textId="77777777" w:rsidTr="00463F97">
        <w:tc>
          <w:tcPr>
            <w:tcW w:w="1456" w:type="dxa"/>
          </w:tcPr>
          <w:p w14:paraId="049DD926" w14:textId="77777777" w:rsidR="00EE7E55" w:rsidRPr="00463F97" w:rsidRDefault="00EE7E5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Resumen:</w:t>
            </w:r>
          </w:p>
        </w:tc>
        <w:tc>
          <w:tcPr>
            <w:tcW w:w="7328" w:type="dxa"/>
          </w:tcPr>
          <w:p w14:paraId="36A040E0" w14:textId="0BE0E89F" w:rsidR="00EE7E55" w:rsidRPr="00463F97" w:rsidRDefault="00A15137" w:rsidP="00463F97">
            <w:pPr>
              <w:jc w:val="both"/>
              <w:rPr>
                <w:rFonts w:ascii="Times New Roman" w:eastAsia="Calibri" w:hAnsi="Times New Roman" w:cs="Times New Roman"/>
                <w:bCs/>
                <w:sz w:val="24"/>
                <w:szCs w:val="24"/>
                <w:lang w:val="es-ES"/>
              </w:rPr>
            </w:pPr>
            <w:r w:rsidRPr="00463F97">
              <w:rPr>
                <w:rFonts w:ascii="Times New Roman" w:hAnsi="Times New Roman" w:cs="Times New Roman"/>
                <w:bCs/>
                <w:sz w:val="24"/>
                <w:szCs w:val="24"/>
                <w:lang w:val="es-ES"/>
              </w:rPr>
              <w:t xml:space="preserve">La Sala Constitucional resolvió por unanimidad la consulta legislativa facultativa sobre el proyecto </w:t>
            </w:r>
            <w:r w:rsidRPr="00463F97">
              <w:rPr>
                <w:rFonts w:ascii="Times New Roman" w:eastAsia="Times New Roman" w:hAnsi="Times New Roman" w:cs="Times New Roman"/>
                <w:bCs/>
                <w:sz w:val="24"/>
                <w:szCs w:val="24"/>
              </w:rPr>
              <w:t>de ley denominado: “</w:t>
            </w:r>
            <w:r w:rsidRPr="00463F97">
              <w:rPr>
                <w:rFonts w:ascii="Times New Roman" w:eastAsia="Times New Roman" w:hAnsi="Times New Roman" w:cs="Times New Roman"/>
                <w:bCs/>
                <w:i/>
                <w:sz w:val="24"/>
                <w:szCs w:val="24"/>
              </w:rPr>
              <w:t xml:space="preserve">Adición de los artículos 36 bis, 53 inciso g, h y reforma del artículo 63 de la Ley 7472 de la Promoción de la Competencia y Defensa Efectiva del consumidor del 20 de diciembre de 1994, publicada en la Gaceta N.º 14 de 19 de enero de 1995”, </w:t>
            </w:r>
            <w:r w:rsidRPr="00463F97">
              <w:rPr>
                <w:rFonts w:ascii="Times New Roman" w:eastAsia="Times New Roman" w:hAnsi="Times New Roman" w:cs="Times New Roman"/>
                <w:bCs/>
                <w:sz w:val="24"/>
                <w:szCs w:val="24"/>
              </w:rPr>
              <w:t xml:space="preserve">conocido como </w:t>
            </w:r>
            <w:r w:rsidRPr="00463F97">
              <w:rPr>
                <w:rFonts w:ascii="Times New Roman" w:eastAsia="Times New Roman" w:hAnsi="Times New Roman" w:cs="Times New Roman"/>
                <w:b/>
                <w:sz w:val="24"/>
                <w:szCs w:val="24"/>
              </w:rPr>
              <w:t>ley para regular usura</w:t>
            </w:r>
            <w:r w:rsidRPr="00463F97">
              <w:rPr>
                <w:rFonts w:ascii="Times New Roman" w:eastAsia="Times New Roman" w:hAnsi="Times New Roman" w:cs="Times New Roman"/>
                <w:bCs/>
                <w:i/>
                <w:sz w:val="24"/>
                <w:szCs w:val="24"/>
              </w:rPr>
              <w:t xml:space="preserve"> (</w:t>
            </w:r>
            <w:r w:rsidRPr="00463F97">
              <w:rPr>
                <w:rFonts w:ascii="Times New Roman" w:eastAsia="Times New Roman" w:hAnsi="Times New Roman" w:cs="Times New Roman"/>
                <w:bCs/>
                <w:sz w:val="24"/>
                <w:szCs w:val="24"/>
              </w:rPr>
              <w:t>expediente legislativo 20.861)</w:t>
            </w:r>
            <w:r w:rsidRPr="00463F97">
              <w:rPr>
                <w:rFonts w:ascii="Times New Roman" w:eastAsia="Times New Roman" w:hAnsi="Times New Roman" w:cs="Times New Roman"/>
                <w:bCs/>
                <w:sz w:val="24"/>
                <w:szCs w:val="24"/>
              </w:rPr>
              <w:t>; y concluye que</w:t>
            </w:r>
            <w:r w:rsidRPr="00463F97">
              <w:rPr>
                <w:rFonts w:ascii="Times New Roman" w:eastAsia="Calibri" w:hAnsi="Times New Roman" w:cs="Times New Roman"/>
                <w:bCs/>
                <w:sz w:val="24"/>
                <w:szCs w:val="24"/>
                <w:lang w:val="es-ES"/>
              </w:rPr>
              <w:t xml:space="preserve"> no tiene vicios de inconstitucionalidad en los puntos consultados por las y los diputados.</w:t>
            </w:r>
          </w:p>
        </w:tc>
      </w:tr>
      <w:tr w:rsidR="00463F97" w:rsidRPr="00463F97" w14:paraId="24E0E3F4" w14:textId="77777777" w:rsidTr="00463F97">
        <w:tc>
          <w:tcPr>
            <w:tcW w:w="1456" w:type="dxa"/>
            <w:shd w:val="clear" w:color="auto" w:fill="FFFFFF" w:themeFill="background1"/>
          </w:tcPr>
          <w:p w14:paraId="5095DDC8" w14:textId="77777777" w:rsidR="00EE7E55" w:rsidRPr="00463F97" w:rsidRDefault="00EE7E5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Link a resolución:</w:t>
            </w:r>
          </w:p>
        </w:tc>
        <w:tc>
          <w:tcPr>
            <w:tcW w:w="7328" w:type="dxa"/>
            <w:shd w:val="clear" w:color="auto" w:fill="FFFFFF" w:themeFill="background1"/>
          </w:tcPr>
          <w:p w14:paraId="206A30DA" w14:textId="30D45887" w:rsidR="00EE7E55" w:rsidRPr="00463F97" w:rsidRDefault="00A15137" w:rsidP="00463F97">
            <w:pPr>
              <w:jc w:val="both"/>
              <w:rPr>
                <w:rFonts w:ascii="Times New Roman" w:hAnsi="Times New Roman" w:cs="Times New Roman"/>
                <w:bCs/>
                <w:sz w:val="24"/>
                <w:szCs w:val="24"/>
                <w:lang w:eastAsia="es-CR"/>
              </w:rPr>
            </w:pPr>
            <w:hyperlink r:id="rId9" w:history="1">
              <w:r w:rsidRPr="00463F97">
                <w:rPr>
                  <w:rFonts w:ascii="Times New Roman" w:hAnsi="Times New Roman" w:cs="Times New Roman"/>
                  <w:bCs/>
                  <w:color w:val="0000FF"/>
                  <w:sz w:val="24"/>
                  <w:szCs w:val="24"/>
                  <w:u w:val="single"/>
                </w:rPr>
                <w:t>https://nexuspj.poder-judicial.go.cr/document/sen-1-0007-978237</w:t>
              </w:r>
            </w:hyperlink>
          </w:p>
        </w:tc>
      </w:tr>
      <w:tr w:rsidR="00AA4E69" w:rsidRPr="00463F97" w14:paraId="3D6538AA" w14:textId="77777777" w:rsidTr="00463F97">
        <w:tc>
          <w:tcPr>
            <w:tcW w:w="1456" w:type="dxa"/>
            <w:shd w:val="clear" w:color="auto" w:fill="2F5496" w:themeFill="accent1" w:themeFillShade="BF"/>
          </w:tcPr>
          <w:p w14:paraId="39C2BF65" w14:textId="77777777" w:rsidR="00AA4E69" w:rsidRPr="00463F97" w:rsidRDefault="00AA4E69" w:rsidP="00463F97">
            <w:pPr>
              <w:spacing w:after="100"/>
              <w:jc w:val="both"/>
              <w:rPr>
                <w:rFonts w:ascii="Times New Roman" w:eastAsia="Times New Roman" w:hAnsi="Times New Roman" w:cs="Times New Roman"/>
                <w:bCs/>
                <w:sz w:val="24"/>
                <w:szCs w:val="24"/>
                <w:lang w:eastAsia="es-CR"/>
              </w:rPr>
            </w:pPr>
          </w:p>
        </w:tc>
        <w:tc>
          <w:tcPr>
            <w:tcW w:w="7328" w:type="dxa"/>
            <w:shd w:val="clear" w:color="auto" w:fill="2F5496" w:themeFill="accent1" w:themeFillShade="BF"/>
          </w:tcPr>
          <w:p w14:paraId="7F355E07" w14:textId="77777777" w:rsidR="00AA4E69" w:rsidRPr="00463F97" w:rsidRDefault="00AA4E69" w:rsidP="00463F97">
            <w:pPr>
              <w:spacing w:after="100"/>
              <w:jc w:val="both"/>
              <w:rPr>
                <w:rFonts w:ascii="Times New Roman" w:hAnsi="Times New Roman" w:cs="Times New Roman"/>
                <w:bCs/>
                <w:sz w:val="24"/>
                <w:szCs w:val="24"/>
                <w:lang w:eastAsia="es-CR"/>
              </w:rPr>
            </w:pPr>
          </w:p>
        </w:tc>
      </w:tr>
      <w:tr w:rsidR="00463F97" w:rsidRPr="00463F97" w14:paraId="40749E8C" w14:textId="77777777" w:rsidTr="00463F97">
        <w:tc>
          <w:tcPr>
            <w:tcW w:w="1456" w:type="dxa"/>
            <w:shd w:val="clear" w:color="auto" w:fill="D9E2F3" w:themeFill="accent1" w:themeFillTint="33"/>
          </w:tcPr>
          <w:p w14:paraId="6295C96D" w14:textId="77777777" w:rsidR="00EE7E55" w:rsidRPr="00463F97" w:rsidRDefault="00EE7E5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Número de sentencia:</w:t>
            </w:r>
          </w:p>
        </w:tc>
        <w:tc>
          <w:tcPr>
            <w:tcW w:w="7328" w:type="dxa"/>
            <w:shd w:val="clear" w:color="auto" w:fill="D9E2F3" w:themeFill="accent1" w:themeFillTint="33"/>
          </w:tcPr>
          <w:p w14:paraId="275D46DF" w14:textId="46728A22" w:rsidR="00EE7E55" w:rsidRPr="00463F97" w:rsidRDefault="00AA4E69" w:rsidP="00463F97">
            <w:pPr>
              <w:spacing w:after="100"/>
              <w:jc w:val="both"/>
              <w:rPr>
                <w:rFonts w:ascii="Times New Roman" w:eastAsia="Times New Roman" w:hAnsi="Times New Roman" w:cs="Times New Roman"/>
                <w:bCs/>
                <w:sz w:val="24"/>
                <w:szCs w:val="24"/>
                <w:lang w:eastAsia="es-CR"/>
              </w:rPr>
            </w:pPr>
            <w:r w:rsidRPr="00463F97">
              <w:rPr>
                <w:rFonts w:ascii="Times New Roman" w:hAnsi="Times New Roman" w:cs="Times New Roman"/>
                <w:bCs/>
                <w:sz w:val="24"/>
                <w:szCs w:val="24"/>
                <w:lang w:eastAsia="es-CR"/>
              </w:rPr>
              <w:t>2020-</w:t>
            </w:r>
            <w:r w:rsidRPr="00463F97">
              <w:rPr>
                <w:rFonts w:ascii="Times New Roman" w:hAnsi="Times New Roman" w:cs="Times New Roman"/>
                <w:bCs/>
                <w:sz w:val="24"/>
                <w:szCs w:val="24"/>
                <w:lang w:eastAsia="es-CR"/>
              </w:rPr>
              <w:t>010180</w:t>
            </w:r>
          </w:p>
        </w:tc>
      </w:tr>
      <w:tr w:rsidR="00463F97" w:rsidRPr="00463F97" w14:paraId="681422E8" w14:textId="77777777" w:rsidTr="00463F97">
        <w:tc>
          <w:tcPr>
            <w:tcW w:w="1456" w:type="dxa"/>
          </w:tcPr>
          <w:p w14:paraId="54F329EA" w14:textId="77777777" w:rsidR="00EE7E55" w:rsidRPr="00463F97" w:rsidRDefault="00EE7E5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Fecha de resolución:</w:t>
            </w:r>
          </w:p>
        </w:tc>
        <w:tc>
          <w:tcPr>
            <w:tcW w:w="7328" w:type="dxa"/>
          </w:tcPr>
          <w:p w14:paraId="0F9BD3AC" w14:textId="72B76E12" w:rsidR="00EE7E55" w:rsidRPr="00463F97" w:rsidRDefault="00D53B67" w:rsidP="00463F97">
            <w:pPr>
              <w:shd w:val="clear" w:color="auto" w:fill="FFFFFF"/>
              <w:spacing w:before="100" w:beforeAutospacing="1" w:after="100" w:afterAutospacing="1"/>
              <w:jc w:val="both"/>
              <w:rPr>
                <w:rFonts w:ascii="Times New Roman" w:eastAsia="Times New Roman" w:hAnsi="Times New Roman" w:cs="Times New Roman"/>
                <w:bCs/>
                <w:color w:val="000000"/>
                <w:sz w:val="24"/>
                <w:szCs w:val="24"/>
                <w:lang w:eastAsia="es-CR"/>
              </w:rPr>
            </w:pPr>
            <w:r w:rsidRPr="00463F97">
              <w:rPr>
                <w:rFonts w:ascii="Times New Roman" w:eastAsia="Times New Roman" w:hAnsi="Times New Roman" w:cs="Times New Roman"/>
                <w:bCs/>
                <w:color w:val="000000"/>
                <w:sz w:val="24"/>
                <w:szCs w:val="24"/>
                <w:lang w:eastAsia="es-CR"/>
              </w:rPr>
              <w:t>5 de junio del 2020</w:t>
            </w:r>
          </w:p>
        </w:tc>
      </w:tr>
      <w:tr w:rsidR="00463F97" w:rsidRPr="00463F97" w14:paraId="20D435AE" w14:textId="77777777" w:rsidTr="00463F97">
        <w:tc>
          <w:tcPr>
            <w:tcW w:w="1456" w:type="dxa"/>
            <w:shd w:val="clear" w:color="auto" w:fill="D9D9D9" w:themeFill="background1" w:themeFillShade="D9"/>
          </w:tcPr>
          <w:p w14:paraId="678C0BAD" w14:textId="77777777" w:rsidR="00EE7E55" w:rsidRPr="00463F97" w:rsidRDefault="00EE7E5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Temática:</w:t>
            </w:r>
          </w:p>
        </w:tc>
        <w:tc>
          <w:tcPr>
            <w:tcW w:w="7328" w:type="dxa"/>
            <w:shd w:val="clear" w:color="auto" w:fill="D9D9D9" w:themeFill="background1" w:themeFillShade="D9"/>
          </w:tcPr>
          <w:p w14:paraId="02A8CD2F" w14:textId="7F31CB01" w:rsidR="00EE7E55" w:rsidRPr="00463F97" w:rsidRDefault="00D53B67"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Salud</w:t>
            </w:r>
          </w:p>
        </w:tc>
      </w:tr>
      <w:tr w:rsidR="00941FF9" w:rsidRPr="00463F97" w14:paraId="5BEE1C95" w14:textId="77777777" w:rsidTr="00463F97">
        <w:tc>
          <w:tcPr>
            <w:tcW w:w="1456" w:type="dxa"/>
            <w:shd w:val="clear" w:color="auto" w:fill="8EAADB" w:themeFill="accent1" w:themeFillTint="99"/>
          </w:tcPr>
          <w:p w14:paraId="081C1122" w14:textId="77777777" w:rsidR="00EE7E55" w:rsidRPr="00463F97" w:rsidRDefault="00EE7E5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Tipo de asunto:</w:t>
            </w:r>
          </w:p>
        </w:tc>
        <w:tc>
          <w:tcPr>
            <w:tcW w:w="7328" w:type="dxa"/>
            <w:shd w:val="clear" w:color="auto" w:fill="8EAADB" w:themeFill="accent1" w:themeFillTint="99"/>
          </w:tcPr>
          <w:p w14:paraId="37CA0351" w14:textId="0F871CE8" w:rsidR="00EE7E55" w:rsidRPr="00463F97" w:rsidRDefault="00D53B67"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Recurso de amparo</w:t>
            </w:r>
          </w:p>
        </w:tc>
      </w:tr>
      <w:tr w:rsidR="00463F97" w:rsidRPr="00463F97" w14:paraId="73CB876F" w14:textId="77777777" w:rsidTr="00463F97">
        <w:tc>
          <w:tcPr>
            <w:tcW w:w="1456" w:type="dxa"/>
          </w:tcPr>
          <w:p w14:paraId="58CB5805" w14:textId="77777777" w:rsidR="00EE7E55" w:rsidRPr="00463F97" w:rsidRDefault="00EE7E5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Resumen:</w:t>
            </w:r>
          </w:p>
        </w:tc>
        <w:tc>
          <w:tcPr>
            <w:tcW w:w="7328" w:type="dxa"/>
          </w:tcPr>
          <w:p w14:paraId="0BFC9422" w14:textId="1A13FD16" w:rsidR="00EE7E55" w:rsidRPr="00463F97" w:rsidRDefault="00D53B67" w:rsidP="00463F97">
            <w:pPr>
              <w:jc w:val="both"/>
              <w:rPr>
                <w:rFonts w:ascii="Times New Roman" w:hAnsi="Times New Roman" w:cs="Times New Roman"/>
                <w:bCs/>
                <w:sz w:val="24"/>
                <w:szCs w:val="24"/>
                <w:lang w:eastAsia="es-CR"/>
              </w:rPr>
            </w:pPr>
            <w:r w:rsidRPr="00463F97">
              <w:rPr>
                <w:rFonts w:ascii="Times New Roman" w:hAnsi="Times New Roman" w:cs="Times New Roman"/>
                <w:bCs/>
                <w:sz w:val="24"/>
                <w:szCs w:val="24"/>
                <w:lang w:eastAsia="es-CR"/>
              </w:rPr>
              <w:t xml:space="preserve">Sindicato de médicos especialistas cuestionan las medidas tomadas por la CCSS respecto a no darles a todos los funcionarios equipo de protección contra el covid-19, sólo a quienes trabajan en ciertas áreas. Se declara con lugar el recurso. Se ordena al Ministro de Salud y al presidente ejecutivo de la CCSS  girar las órdenes que estén dentro del ámbito de sus competencias para que, mientras subsista la recomendación del uso de la mascarilla para los trabajadores de la salud, incluso para aquellos que no prestan atención directa a los pacientes con la enfermedad covid-19, coordinen lo necesario para instaurar medidas de fiscalización, a efectos de determinar que tal recomendación se cumpla en todos los centros de salud de la CCSS. </w:t>
            </w:r>
          </w:p>
        </w:tc>
      </w:tr>
      <w:tr w:rsidR="00463F97" w:rsidRPr="00463F97" w14:paraId="2BE353C6" w14:textId="77777777" w:rsidTr="00463F97">
        <w:tc>
          <w:tcPr>
            <w:tcW w:w="1456" w:type="dxa"/>
            <w:shd w:val="clear" w:color="auto" w:fill="FFFFFF" w:themeFill="background1"/>
          </w:tcPr>
          <w:p w14:paraId="6217982C" w14:textId="77777777" w:rsidR="00EE7E55" w:rsidRPr="00463F97" w:rsidRDefault="00EE7E5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Link a resolución:</w:t>
            </w:r>
          </w:p>
        </w:tc>
        <w:tc>
          <w:tcPr>
            <w:tcW w:w="7328" w:type="dxa"/>
            <w:shd w:val="clear" w:color="auto" w:fill="FFFFFF" w:themeFill="background1"/>
          </w:tcPr>
          <w:p w14:paraId="3E35AAB9" w14:textId="537B7DA4" w:rsidR="00EE7E55" w:rsidRPr="00463F97" w:rsidRDefault="00D53B67" w:rsidP="00463F97">
            <w:pPr>
              <w:jc w:val="both"/>
              <w:rPr>
                <w:rFonts w:ascii="Times New Roman" w:hAnsi="Times New Roman" w:cs="Times New Roman"/>
                <w:bCs/>
                <w:sz w:val="24"/>
                <w:szCs w:val="24"/>
                <w:lang w:eastAsia="es-CR"/>
              </w:rPr>
            </w:pPr>
            <w:hyperlink r:id="rId10" w:history="1">
              <w:r w:rsidRPr="00463F97">
                <w:rPr>
                  <w:rFonts w:ascii="Times New Roman" w:hAnsi="Times New Roman" w:cs="Times New Roman"/>
                  <w:bCs/>
                  <w:color w:val="0000FF"/>
                  <w:sz w:val="24"/>
                  <w:szCs w:val="24"/>
                  <w:u w:val="single"/>
                </w:rPr>
                <w:t>https://nexuspj.poder-judicial.go.cr/document/sen-1-0007-978461</w:t>
              </w:r>
            </w:hyperlink>
          </w:p>
        </w:tc>
      </w:tr>
      <w:tr w:rsidR="00C26F35" w:rsidRPr="00463F97" w14:paraId="40DA24CA" w14:textId="77777777" w:rsidTr="00463F97">
        <w:tc>
          <w:tcPr>
            <w:tcW w:w="1456" w:type="dxa"/>
            <w:shd w:val="clear" w:color="auto" w:fill="2F5496" w:themeFill="accent1" w:themeFillShade="BF"/>
          </w:tcPr>
          <w:p w14:paraId="41D32ADF" w14:textId="77777777" w:rsidR="00C26F35" w:rsidRPr="00463F97" w:rsidRDefault="00C26F35" w:rsidP="00463F97">
            <w:pPr>
              <w:spacing w:after="100"/>
              <w:jc w:val="both"/>
              <w:rPr>
                <w:rFonts w:ascii="Times New Roman" w:eastAsia="Times New Roman" w:hAnsi="Times New Roman" w:cs="Times New Roman"/>
                <w:bCs/>
                <w:sz w:val="24"/>
                <w:szCs w:val="24"/>
                <w:lang w:eastAsia="es-CR"/>
              </w:rPr>
            </w:pPr>
          </w:p>
        </w:tc>
        <w:tc>
          <w:tcPr>
            <w:tcW w:w="7328" w:type="dxa"/>
            <w:shd w:val="clear" w:color="auto" w:fill="2F5496" w:themeFill="accent1" w:themeFillShade="BF"/>
          </w:tcPr>
          <w:p w14:paraId="5D20729F" w14:textId="77777777" w:rsidR="00C26F35" w:rsidRPr="00463F97" w:rsidRDefault="00C26F35" w:rsidP="00463F97">
            <w:pPr>
              <w:spacing w:after="100"/>
              <w:jc w:val="both"/>
              <w:rPr>
                <w:rFonts w:ascii="Times New Roman" w:eastAsia="Times New Roman" w:hAnsi="Times New Roman" w:cs="Times New Roman"/>
                <w:bCs/>
                <w:sz w:val="24"/>
                <w:szCs w:val="24"/>
                <w:lang w:eastAsia="es-CR"/>
              </w:rPr>
            </w:pPr>
          </w:p>
        </w:tc>
      </w:tr>
      <w:tr w:rsidR="00463F97" w:rsidRPr="00463F97" w14:paraId="3CE1F163" w14:textId="77777777" w:rsidTr="00463F97">
        <w:tc>
          <w:tcPr>
            <w:tcW w:w="1456" w:type="dxa"/>
            <w:shd w:val="clear" w:color="auto" w:fill="D9E2F3" w:themeFill="accent1" w:themeFillTint="33"/>
          </w:tcPr>
          <w:p w14:paraId="4B11A13B" w14:textId="77777777" w:rsidR="00EE7E55" w:rsidRPr="00463F97" w:rsidRDefault="00EE7E5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Número de sentencia:</w:t>
            </w:r>
          </w:p>
        </w:tc>
        <w:tc>
          <w:tcPr>
            <w:tcW w:w="7328" w:type="dxa"/>
            <w:shd w:val="clear" w:color="auto" w:fill="D9E2F3" w:themeFill="accent1" w:themeFillTint="33"/>
          </w:tcPr>
          <w:p w14:paraId="7E632727" w14:textId="4C1015C6" w:rsidR="00EE7E55" w:rsidRPr="00463F97" w:rsidRDefault="00C26F35" w:rsidP="00463F97">
            <w:pPr>
              <w:spacing w:after="100"/>
              <w:jc w:val="both"/>
              <w:rPr>
                <w:rFonts w:ascii="Times New Roman" w:eastAsia="Times New Roman" w:hAnsi="Times New Roman" w:cs="Times New Roman"/>
                <w:bCs/>
                <w:sz w:val="24"/>
                <w:szCs w:val="24"/>
                <w:lang w:eastAsia="es-CR"/>
              </w:rPr>
            </w:pPr>
            <w:r w:rsidRPr="00463F97">
              <w:rPr>
                <w:rFonts w:ascii="Times New Roman" w:hAnsi="Times New Roman" w:cs="Times New Roman"/>
                <w:bCs/>
                <w:sz w:val="24"/>
                <w:szCs w:val="24"/>
                <w:lang w:eastAsia="es-CR"/>
              </w:rPr>
              <w:t>2020-</w:t>
            </w:r>
            <w:r w:rsidRPr="00463F97">
              <w:rPr>
                <w:rFonts w:ascii="Times New Roman" w:hAnsi="Times New Roman" w:cs="Times New Roman"/>
                <w:bCs/>
                <w:sz w:val="24"/>
                <w:szCs w:val="24"/>
                <w:lang w:eastAsia="es-CR"/>
              </w:rPr>
              <w:t>010176</w:t>
            </w:r>
          </w:p>
        </w:tc>
      </w:tr>
      <w:tr w:rsidR="00463F97" w:rsidRPr="00463F97" w14:paraId="2B41BDAF" w14:textId="77777777" w:rsidTr="00463F97">
        <w:tc>
          <w:tcPr>
            <w:tcW w:w="1456" w:type="dxa"/>
          </w:tcPr>
          <w:p w14:paraId="42F6444C" w14:textId="77777777" w:rsidR="00EE7E55" w:rsidRPr="00463F97" w:rsidRDefault="00EE7E5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Fecha de resolución:</w:t>
            </w:r>
          </w:p>
        </w:tc>
        <w:tc>
          <w:tcPr>
            <w:tcW w:w="7328" w:type="dxa"/>
          </w:tcPr>
          <w:p w14:paraId="7CA6EF92" w14:textId="09C3D68A" w:rsidR="00EE7E55" w:rsidRPr="00463F97" w:rsidRDefault="00C26F35" w:rsidP="00463F97">
            <w:pPr>
              <w:shd w:val="clear" w:color="auto" w:fill="FFFFFF"/>
              <w:spacing w:before="100" w:beforeAutospacing="1" w:after="100" w:afterAutospacing="1"/>
              <w:jc w:val="both"/>
              <w:rPr>
                <w:rFonts w:ascii="Times New Roman" w:eastAsia="Times New Roman" w:hAnsi="Times New Roman" w:cs="Times New Roman"/>
                <w:bCs/>
                <w:color w:val="000000"/>
                <w:sz w:val="24"/>
                <w:szCs w:val="24"/>
                <w:highlight w:val="yellow"/>
                <w:lang w:eastAsia="es-CR"/>
              </w:rPr>
            </w:pPr>
            <w:r w:rsidRPr="00463F97">
              <w:rPr>
                <w:rFonts w:ascii="Times New Roman" w:eastAsia="Times New Roman" w:hAnsi="Times New Roman" w:cs="Times New Roman"/>
                <w:bCs/>
                <w:color w:val="000000"/>
                <w:sz w:val="24"/>
                <w:szCs w:val="24"/>
                <w:lang w:eastAsia="es-CR"/>
              </w:rPr>
              <w:t>5 de junio del 2020</w:t>
            </w:r>
          </w:p>
        </w:tc>
      </w:tr>
      <w:tr w:rsidR="00463F97" w:rsidRPr="00463F97" w14:paraId="08361441" w14:textId="77777777" w:rsidTr="00463F97">
        <w:tc>
          <w:tcPr>
            <w:tcW w:w="1456" w:type="dxa"/>
            <w:shd w:val="clear" w:color="auto" w:fill="D9D9D9" w:themeFill="background1" w:themeFillShade="D9"/>
          </w:tcPr>
          <w:p w14:paraId="1416AFFA" w14:textId="77777777" w:rsidR="00EE7E55" w:rsidRPr="00463F97" w:rsidRDefault="00EE7E5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Temática:</w:t>
            </w:r>
          </w:p>
        </w:tc>
        <w:tc>
          <w:tcPr>
            <w:tcW w:w="7328" w:type="dxa"/>
            <w:shd w:val="clear" w:color="auto" w:fill="D9D9D9" w:themeFill="background1" w:themeFillShade="D9"/>
          </w:tcPr>
          <w:p w14:paraId="4569D5A6" w14:textId="32A8C4B4" w:rsidR="00EE7E55" w:rsidRPr="00463F97" w:rsidRDefault="00C26F3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Minorías</w:t>
            </w:r>
          </w:p>
        </w:tc>
      </w:tr>
      <w:tr w:rsidR="00463F97" w:rsidRPr="00463F97" w14:paraId="3082D8AB" w14:textId="77777777" w:rsidTr="00463F97">
        <w:tc>
          <w:tcPr>
            <w:tcW w:w="1456" w:type="dxa"/>
            <w:shd w:val="clear" w:color="auto" w:fill="8EAADB" w:themeFill="accent1" w:themeFillTint="99"/>
          </w:tcPr>
          <w:p w14:paraId="1DB3B803" w14:textId="77777777" w:rsidR="00EE7E55" w:rsidRPr="00463F97" w:rsidRDefault="00EE7E5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Tipo de asunto:</w:t>
            </w:r>
          </w:p>
        </w:tc>
        <w:tc>
          <w:tcPr>
            <w:tcW w:w="7328" w:type="dxa"/>
            <w:shd w:val="clear" w:color="auto" w:fill="8EAADB" w:themeFill="accent1" w:themeFillTint="99"/>
          </w:tcPr>
          <w:p w14:paraId="12A71FFD" w14:textId="66708F70" w:rsidR="00EE7E55" w:rsidRPr="00463F97" w:rsidRDefault="00C26F3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Recurso de amparo</w:t>
            </w:r>
          </w:p>
        </w:tc>
      </w:tr>
      <w:tr w:rsidR="00463F97" w:rsidRPr="00463F97" w14:paraId="49EDB0A6" w14:textId="77777777" w:rsidTr="00463F97">
        <w:tc>
          <w:tcPr>
            <w:tcW w:w="1456" w:type="dxa"/>
          </w:tcPr>
          <w:p w14:paraId="26BEF4F6" w14:textId="77777777" w:rsidR="00C26F35" w:rsidRPr="00463F97" w:rsidRDefault="00C26F3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Resumen:</w:t>
            </w:r>
          </w:p>
        </w:tc>
        <w:tc>
          <w:tcPr>
            <w:tcW w:w="7328" w:type="dxa"/>
            <w:vAlign w:val="center"/>
          </w:tcPr>
          <w:p w14:paraId="06C836DF" w14:textId="5B207EDF" w:rsidR="00C26F35" w:rsidRPr="00463F97" w:rsidRDefault="00C26F35" w:rsidP="00463F97">
            <w:pPr>
              <w:jc w:val="both"/>
              <w:rPr>
                <w:rFonts w:ascii="Times New Roman" w:hAnsi="Times New Roman" w:cs="Times New Roman"/>
                <w:bCs/>
                <w:sz w:val="24"/>
                <w:szCs w:val="24"/>
                <w:lang w:eastAsia="es-CR"/>
              </w:rPr>
            </w:pPr>
            <w:r w:rsidRPr="00463F97">
              <w:rPr>
                <w:rFonts w:ascii="Times New Roman" w:hAnsi="Times New Roman" w:cs="Times New Roman"/>
                <w:bCs/>
                <w:sz w:val="24"/>
                <w:szCs w:val="24"/>
                <w:lang w:eastAsia="es-CR"/>
              </w:rPr>
              <w:t xml:space="preserve">Se ordena </w:t>
            </w:r>
            <w:r w:rsidR="00463F97" w:rsidRPr="00463F97">
              <w:rPr>
                <w:rFonts w:ascii="Times New Roman" w:hAnsi="Times New Roman" w:cs="Times New Roman"/>
                <w:bCs/>
                <w:sz w:val="24"/>
                <w:szCs w:val="24"/>
                <w:lang w:eastAsia="es-CR"/>
              </w:rPr>
              <w:t>al programa</w:t>
            </w:r>
            <w:r w:rsidRPr="00463F97">
              <w:rPr>
                <w:rFonts w:ascii="Times New Roman" w:hAnsi="Times New Roman" w:cs="Times New Roman"/>
                <w:bCs/>
                <w:sz w:val="24"/>
                <w:szCs w:val="24"/>
                <w:lang w:eastAsia="es-CR"/>
              </w:rPr>
              <w:t xml:space="preserve"> Tigo Sport Noticias, en el plazo de dos meses, ofrecer una modalidad de accesibilidad para la población con deficiencia auditiva (como el sistema “closed caption” y el de intérprete de lesco).</w:t>
            </w:r>
            <w:r w:rsidRPr="00463F97">
              <w:rPr>
                <w:rFonts w:ascii="Times New Roman" w:hAnsi="Times New Roman" w:cs="Times New Roman"/>
                <w:bCs/>
                <w:sz w:val="24"/>
                <w:szCs w:val="24"/>
              </w:rPr>
              <w:t xml:space="preserve"> </w:t>
            </w:r>
          </w:p>
        </w:tc>
      </w:tr>
      <w:tr w:rsidR="00463F97" w:rsidRPr="00463F97" w14:paraId="31011201" w14:textId="77777777" w:rsidTr="00463F97">
        <w:tc>
          <w:tcPr>
            <w:tcW w:w="1456" w:type="dxa"/>
            <w:shd w:val="clear" w:color="auto" w:fill="FFFFFF" w:themeFill="background1"/>
          </w:tcPr>
          <w:p w14:paraId="3E9EAD84" w14:textId="77777777" w:rsidR="00C26F35" w:rsidRPr="00463F97" w:rsidRDefault="00C26F3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Link a resolución:</w:t>
            </w:r>
          </w:p>
        </w:tc>
        <w:tc>
          <w:tcPr>
            <w:tcW w:w="7328" w:type="dxa"/>
            <w:shd w:val="clear" w:color="auto" w:fill="FFFFFF" w:themeFill="background1"/>
          </w:tcPr>
          <w:p w14:paraId="6873794B" w14:textId="02D705CB" w:rsidR="00C26F35" w:rsidRPr="00463F97" w:rsidRDefault="00C26F35" w:rsidP="00463F97">
            <w:pPr>
              <w:jc w:val="both"/>
              <w:rPr>
                <w:rFonts w:ascii="Times New Roman" w:hAnsi="Times New Roman" w:cs="Times New Roman"/>
                <w:bCs/>
                <w:sz w:val="24"/>
                <w:szCs w:val="24"/>
                <w:lang w:eastAsia="es-CR"/>
              </w:rPr>
            </w:pPr>
            <w:hyperlink r:id="rId11" w:history="1">
              <w:r w:rsidRPr="00463F97">
                <w:rPr>
                  <w:rStyle w:val="Hipervnculo"/>
                  <w:rFonts w:ascii="Times New Roman" w:hAnsi="Times New Roman" w:cs="Times New Roman"/>
                  <w:bCs/>
                  <w:sz w:val="24"/>
                  <w:szCs w:val="24"/>
                  <w:lang w:eastAsia="es-CR"/>
                </w:rPr>
                <w:t>https://nexuspj.poder-judicial.go.cr/document/sen-1-0007-978159</w:t>
              </w:r>
            </w:hyperlink>
          </w:p>
        </w:tc>
      </w:tr>
      <w:tr w:rsidR="00C26F35" w:rsidRPr="00463F97" w14:paraId="02575ED3" w14:textId="77777777" w:rsidTr="00463F97">
        <w:tc>
          <w:tcPr>
            <w:tcW w:w="1456" w:type="dxa"/>
            <w:shd w:val="clear" w:color="auto" w:fill="2F5496" w:themeFill="accent1" w:themeFillShade="BF"/>
          </w:tcPr>
          <w:p w14:paraId="4C1E8097" w14:textId="77777777" w:rsidR="00C26F35" w:rsidRPr="00463F97" w:rsidRDefault="00C26F35" w:rsidP="00463F97">
            <w:pPr>
              <w:spacing w:after="100"/>
              <w:jc w:val="both"/>
              <w:rPr>
                <w:rFonts w:ascii="Times New Roman" w:eastAsia="Times New Roman" w:hAnsi="Times New Roman" w:cs="Times New Roman"/>
                <w:bCs/>
                <w:sz w:val="24"/>
                <w:szCs w:val="24"/>
                <w:lang w:eastAsia="es-CR"/>
              </w:rPr>
            </w:pPr>
          </w:p>
        </w:tc>
        <w:tc>
          <w:tcPr>
            <w:tcW w:w="7328" w:type="dxa"/>
            <w:shd w:val="clear" w:color="auto" w:fill="2F5496" w:themeFill="accent1" w:themeFillShade="BF"/>
          </w:tcPr>
          <w:p w14:paraId="4937F24D" w14:textId="77777777" w:rsidR="00C26F35" w:rsidRPr="00463F97" w:rsidRDefault="00C26F35" w:rsidP="00463F97">
            <w:pPr>
              <w:spacing w:after="100"/>
              <w:jc w:val="both"/>
              <w:rPr>
                <w:rFonts w:ascii="Times New Roman" w:eastAsia="Times New Roman" w:hAnsi="Times New Roman" w:cs="Times New Roman"/>
                <w:bCs/>
                <w:sz w:val="24"/>
                <w:szCs w:val="24"/>
                <w:lang w:eastAsia="es-CR"/>
              </w:rPr>
            </w:pPr>
          </w:p>
        </w:tc>
      </w:tr>
      <w:tr w:rsidR="00463F97" w:rsidRPr="00463F97" w14:paraId="1F52680D" w14:textId="77777777" w:rsidTr="00463F97">
        <w:tc>
          <w:tcPr>
            <w:tcW w:w="1456" w:type="dxa"/>
            <w:shd w:val="clear" w:color="auto" w:fill="D9E2F3" w:themeFill="accent1" w:themeFillTint="33"/>
          </w:tcPr>
          <w:p w14:paraId="111C8F73" w14:textId="77777777" w:rsidR="00C26F35" w:rsidRPr="00463F97" w:rsidRDefault="00C26F3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Número de sentencia:</w:t>
            </w:r>
          </w:p>
        </w:tc>
        <w:tc>
          <w:tcPr>
            <w:tcW w:w="7328" w:type="dxa"/>
            <w:shd w:val="clear" w:color="auto" w:fill="D9E2F3" w:themeFill="accent1" w:themeFillTint="33"/>
          </w:tcPr>
          <w:p w14:paraId="0FB7F583" w14:textId="067FE763" w:rsidR="00C26F35" w:rsidRPr="00463F97" w:rsidRDefault="00C02632"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color w:val="000000"/>
                <w:sz w:val="24"/>
                <w:szCs w:val="24"/>
                <w:lang w:eastAsia="es-CR"/>
              </w:rPr>
              <w:t>2020-</w:t>
            </w:r>
            <w:r w:rsidRPr="008E0F5C">
              <w:rPr>
                <w:rFonts w:ascii="Times New Roman" w:eastAsia="Times New Roman" w:hAnsi="Times New Roman" w:cs="Times New Roman"/>
                <w:bCs/>
                <w:color w:val="000000"/>
                <w:sz w:val="24"/>
                <w:szCs w:val="24"/>
                <w:lang w:eastAsia="es-CR"/>
              </w:rPr>
              <w:t>010210</w:t>
            </w:r>
          </w:p>
        </w:tc>
      </w:tr>
      <w:tr w:rsidR="00463F97" w:rsidRPr="00463F97" w14:paraId="19946299" w14:textId="77777777" w:rsidTr="00463F97">
        <w:tc>
          <w:tcPr>
            <w:tcW w:w="1456" w:type="dxa"/>
          </w:tcPr>
          <w:p w14:paraId="376E7CCF" w14:textId="77777777" w:rsidR="00C26F35" w:rsidRPr="00463F97" w:rsidRDefault="00C26F3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Fecha de resolución:</w:t>
            </w:r>
          </w:p>
        </w:tc>
        <w:tc>
          <w:tcPr>
            <w:tcW w:w="7328" w:type="dxa"/>
          </w:tcPr>
          <w:p w14:paraId="24B6F2FC" w14:textId="67FCFF22" w:rsidR="00C26F35" w:rsidRPr="00463F97" w:rsidRDefault="00C02632" w:rsidP="00463F97">
            <w:pPr>
              <w:shd w:val="clear" w:color="auto" w:fill="FFFFFF"/>
              <w:spacing w:before="100" w:beforeAutospacing="1" w:after="100" w:afterAutospacing="1"/>
              <w:jc w:val="both"/>
              <w:rPr>
                <w:rFonts w:ascii="Times New Roman" w:eastAsia="Times New Roman" w:hAnsi="Times New Roman" w:cs="Times New Roman"/>
                <w:bCs/>
                <w:color w:val="000000"/>
                <w:sz w:val="24"/>
                <w:szCs w:val="24"/>
                <w:highlight w:val="yellow"/>
                <w:lang w:eastAsia="es-CR"/>
              </w:rPr>
            </w:pPr>
            <w:r w:rsidRPr="00463F97">
              <w:rPr>
                <w:rFonts w:ascii="Times New Roman" w:eastAsia="Times New Roman" w:hAnsi="Times New Roman" w:cs="Times New Roman"/>
                <w:bCs/>
                <w:color w:val="000000"/>
                <w:sz w:val="24"/>
                <w:szCs w:val="24"/>
                <w:lang w:eastAsia="es-CR"/>
              </w:rPr>
              <w:t>5 de junio del 2020</w:t>
            </w:r>
          </w:p>
        </w:tc>
      </w:tr>
      <w:tr w:rsidR="00463F97" w:rsidRPr="00463F97" w14:paraId="47146520" w14:textId="77777777" w:rsidTr="00463F97">
        <w:tc>
          <w:tcPr>
            <w:tcW w:w="1456" w:type="dxa"/>
            <w:shd w:val="clear" w:color="auto" w:fill="D9D9D9" w:themeFill="background1" w:themeFillShade="D9"/>
          </w:tcPr>
          <w:p w14:paraId="6C975222" w14:textId="77777777" w:rsidR="00C26F35" w:rsidRPr="00463F97" w:rsidRDefault="00C26F3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Temática:</w:t>
            </w:r>
          </w:p>
        </w:tc>
        <w:tc>
          <w:tcPr>
            <w:tcW w:w="7328" w:type="dxa"/>
            <w:shd w:val="clear" w:color="auto" w:fill="D9D9D9" w:themeFill="background1" w:themeFillShade="D9"/>
          </w:tcPr>
          <w:p w14:paraId="0436D84B" w14:textId="7E191654" w:rsidR="00C26F35" w:rsidRPr="00463F97" w:rsidRDefault="00C02632"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Minorías</w:t>
            </w:r>
          </w:p>
        </w:tc>
      </w:tr>
      <w:tr w:rsidR="00463F97" w:rsidRPr="00463F97" w14:paraId="098FC58F" w14:textId="77777777" w:rsidTr="00463F97">
        <w:tc>
          <w:tcPr>
            <w:tcW w:w="1456" w:type="dxa"/>
            <w:shd w:val="clear" w:color="auto" w:fill="8EAADB" w:themeFill="accent1" w:themeFillTint="99"/>
          </w:tcPr>
          <w:p w14:paraId="74785915" w14:textId="77777777" w:rsidR="00C26F35" w:rsidRPr="00463F97" w:rsidRDefault="00C26F3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Tipo de asunto:</w:t>
            </w:r>
          </w:p>
        </w:tc>
        <w:tc>
          <w:tcPr>
            <w:tcW w:w="7328" w:type="dxa"/>
            <w:shd w:val="clear" w:color="auto" w:fill="8EAADB" w:themeFill="accent1" w:themeFillTint="99"/>
          </w:tcPr>
          <w:p w14:paraId="47FE8060" w14:textId="57C33251" w:rsidR="00C26F35" w:rsidRPr="00463F97" w:rsidRDefault="00C02632"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Recurso de amparo</w:t>
            </w:r>
          </w:p>
        </w:tc>
      </w:tr>
      <w:tr w:rsidR="00463F97" w:rsidRPr="00463F97" w14:paraId="756CDB2C" w14:textId="77777777" w:rsidTr="00463F97">
        <w:tc>
          <w:tcPr>
            <w:tcW w:w="1456" w:type="dxa"/>
          </w:tcPr>
          <w:p w14:paraId="6B9ABAE4" w14:textId="77777777" w:rsidR="00C26F35" w:rsidRPr="00463F97" w:rsidRDefault="00C26F3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Resumen:</w:t>
            </w:r>
          </w:p>
        </w:tc>
        <w:tc>
          <w:tcPr>
            <w:tcW w:w="7328" w:type="dxa"/>
          </w:tcPr>
          <w:p w14:paraId="2A00A2A8" w14:textId="32C011DA" w:rsidR="00C26F35" w:rsidRPr="00463F97" w:rsidRDefault="00C02632" w:rsidP="00463F97">
            <w:pPr>
              <w:spacing w:after="0"/>
              <w:jc w:val="both"/>
              <w:rPr>
                <w:rFonts w:ascii="Times New Roman" w:eastAsia="Times New Roman" w:hAnsi="Times New Roman" w:cs="Times New Roman"/>
                <w:bCs/>
                <w:color w:val="000000"/>
                <w:sz w:val="24"/>
                <w:szCs w:val="24"/>
                <w:lang w:eastAsia="es-CR"/>
              </w:rPr>
            </w:pPr>
            <w:r w:rsidRPr="00463F97">
              <w:rPr>
                <w:rFonts w:ascii="Times New Roman" w:eastAsia="Times New Roman" w:hAnsi="Times New Roman" w:cs="Times New Roman"/>
                <w:bCs/>
                <w:color w:val="000000"/>
                <w:sz w:val="24"/>
                <w:szCs w:val="24"/>
                <w:lang w:eastAsia="es-CR"/>
              </w:rPr>
              <w:t xml:space="preserve">Los recurrentes acuden a la Sala en resguardo de los derechos fundamentales de los pueblos indígenas del Territorio Indígena Cabécar de Alto Chirripó. Aseguran que los indígenas de dicho territorio han vivido en graves condiciones de vulnerabilidad humana, </w:t>
            </w:r>
            <w:r w:rsidRPr="00463F97">
              <w:rPr>
                <w:rFonts w:ascii="Times New Roman" w:eastAsia="Times New Roman" w:hAnsi="Times New Roman" w:cs="Times New Roman"/>
                <w:bCs/>
                <w:color w:val="000000"/>
                <w:sz w:val="24"/>
                <w:szCs w:val="24"/>
                <w:lang w:eastAsia="es-CR"/>
              </w:rPr>
              <w:t xml:space="preserve">las cuales </w:t>
            </w:r>
            <w:r w:rsidRPr="00463F97">
              <w:rPr>
                <w:rFonts w:ascii="Times New Roman" w:eastAsia="Times New Roman" w:hAnsi="Times New Roman" w:cs="Times New Roman"/>
                <w:bCs/>
                <w:color w:val="000000"/>
                <w:sz w:val="24"/>
                <w:szCs w:val="24"/>
                <w:lang w:eastAsia="es-CR"/>
              </w:rPr>
              <w:t>se agrava</w:t>
            </w:r>
            <w:r w:rsidRPr="00463F97">
              <w:rPr>
                <w:rFonts w:ascii="Times New Roman" w:eastAsia="Times New Roman" w:hAnsi="Times New Roman" w:cs="Times New Roman"/>
                <w:bCs/>
                <w:color w:val="000000"/>
                <w:sz w:val="24"/>
                <w:szCs w:val="24"/>
                <w:lang w:eastAsia="es-CR"/>
              </w:rPr>
              <w:t>n</w:t>
            </w:r>
            <w:r w:rsidRPr="00463F97">
              <w:rPr>
                <w:rFonts w:ascii="Times New Roman" w:eastAsia="Times New Roman" w:hAnsi="Times New Roman" w:cs="Times New Roman"/>
                <w:bCs/>
                <w:color w:val="000000"/>
                <w:sz w:val="24"/>
                <w:szCs w:val="24"/>
                <w:lang w:eastAsia="es-CR"/>
              </w:rPr>
              <w:t xml:space="preserve"> ante la pandemia del COVID-19. Alegan que pese tal situación, las instituciones estatales recurridas no han tomado medidas dirigidas a la atención especial de los problemas que afronta el pueblo.</w:t>
            </w:r>
            <w:r w:rsidRPr="00463F97">
              <w:rPr>
                <w:rFonts w:ascii="Times New Roman" w:eastAsia="Times New Roman" w:hAnsi="Times New Roman" w:cs="Times New Roman"/>
                <w:bCs/>
                <w:color w:val="000000"/>
                <w:sz w:val="24"/>
                <w:szCs w:val="24"/>
                <w:lang w:eastAsia="es-CR"/>
              </w:rPr>
              <w:t xml:space="preserve"> Se declara sin lugar el recurso, el</w:t>
            </w:r>
            <w:r w:rsidRPr="00463F97">
              <w:rPr>
                <w:rFonts w:ascii="Times New Roman" w:eastAsia="Times New Roman" w:hAnsi="Times New Roman" w:cs="Times New Roman"/>
                <w:bCs/>
                <w:color w:val="000000"/>
                <w:sz w:val="24"/>
                <w:szCs w:val="24"/>
                <w:lang w:eastAsia="es-CR"/>
              </w:rPr>
              <w:t xml:space="preserve"> Tribunal considera que  las autoridades recurridas, y en particular el Ministerio de Salud</w:t>
            </w:r>
            <w:r w:rsidRPr="00463F97">
              <w:rPr>
                <w:rFonts w:ascii="Times New Roman" w:eastAsia="Times New Roman" w:hAnsi="Times New Roman" w:cs="Times New Roman"/>
                <w:bCs/>
                <w:color w:val="000000"/>
                <w:sz w:val="24"/>
                <w:szCs w:val="24"/>
                <w:lang w:eastAsia="es-CR"/>
              </w:rPr>
              <w:t xml:space="preserve">, </w:t>
            </w:r>
            <w:r w:rsidRPr="00463F97">
              <w:rPr>
                <w:rFonts w:ascii="Times New Roman" w:eastAsia="Times New Roman" w:hAnsi="Times New Roman" w:cs="Times New Roman"/>
                <w:bCs/>
                <w:color w:val="000000"/>
                <w:sz w:val="24"/>
                <w:szCs w:val="24"/>
                <w:lang w:eastAsia="es-CR"/>
              </w:rPr>
              <w:t>sí han dado atención a la comunidad indígena de Chirripó</w:t>
            </w:r>
            <w:r w:rsidRPr="00463F97">
              <w:rPr>
                <w:rFonts w:ascii="Times New Roman" w:eastAsia="Times New Roman" w:hAnsi="Times New Roman" w:cs="Times New Roman"/>
                <w:bCs/>
                <w:color w:val="000000"/>
                <w:sz w:val="24"/>
                <w:szCs w:val="24"/>
                <w:lang w:eastAsia="es-CR"/>
              </w:rPr>
              <w:t xml:space="preserve"> </w:t>
            </w:r>
            <w:r w:rsidRPr="00463F97">
              <w:rPr>
                <w:rFonts w:ascii="Times New Roman" w:eastAsia="Times New Roman" w:hAnsi="Times New Roman" w:cs="Times New Roman"/>
                <w:bCs/>
                <w:color w:val="000000"/>
                <w:sz w:val="24"/>
                <w:szCs w:val="24"/>
                <w:lang w:eastAsia="es-CR"/>
              </w:rPr>
              <w:t>en cuanto la situación de emergencia que ha generado la pandemia</w:t>
            </w:r>
            <w:r w:rsidRPr="00463F97">
              <w:rPr>
                <w:rFonts w:ascii="Times New Roman" w:eastAsia="Times New Roman" w:hAnsi="Times New Roman" w:cs="Times New Roman"/>
                <w:bCs/>
                <w:color w:val="000000"/>
                <w:sz w:val="24"/>
                <w:szCs w:val="24"/>
                <w:lang w:eastAsia="es-CR"/>
              </w:rPr>
              <w:t>: s</w:t>
            </w:r>
            <w:r w:rsidRPr="00463F97">
              <w:rPr>
                <w:rFonts w:ascii="Times New Roman" w:eastAsia="Times New Roman" w:hAnsi="Times New Roman" w:cs="Times New Roman"/>
                <w:bCs/>
                <w:color w:val="000000"/>
                <w:sz w:val="24"/>
                <w:szCs w:val="24"/>
                <w:lang w:eastAsia="es-CR"/>
              </w:rPr>
              <w:t xml:space="preserve">e realizan giras por parte de los EBAIS itinerantes en la zona, se dispuso una ubicación especial para la atención de los posibles casos de </w:t>
            </w:r>
            <w:r w:rsidR="00463F97">
              <w:rPr>
                <w:rFonts w:ascii="Times New Roman" w:eastAsia="Times New Roman" w:hAnsi="Times New Roman" w:cs="Times New Roman"/>
                <w:bCs/>
                <w:color w:val="000000"/>
                <w:sz w:val="24"/>
                <w:szCs w:val="24"/>
                <w:lang w:eastAsia="es-CR"/>
              </w:rPr>
              <w:t>covid</w:t>
            </w:r>
            <w:r w:rsidRPr="00463F97">
              <w:rPr>
                <w:rFonts w:ascii="Times New Roman" w:eastAsia="Times New Roman" w:hAnsi="Times New Roman" w:cs="Times New Roman"/>
                <w:bCs/>
                <w:color w:val="000000"/>
                <w:sz w:val="24"/>
                <w:szCs w:val="24"/>
                <w:lang w:eastAsia="es-CR"/>
              </w:rPr>
              <w:t>-19; también se siguieron todas las recomendaciones emanadas para los servicios de Atención Primaria en los EBAIS del país a raíz de la emergencia nacional.</w:t>
            </w:r>
            <w:r w:rsidRPr="00463F97">
              <w:rPr>
                <w:rFonts w:ascii="Times New Roman" w:eastAsia="Times New Roman" w:hAnsi="Times New Roman" w:cs="Times New Roman"/>
                <w:bCs/>
                <w:color w:val="000000"/>
                <w:sz w:val="24"/>
                <w:szCs w:val="24"/>
                <w:lang w:eastAsia="es-CR"/>
              </w:rPr>
              <w:t xml:space="preserve"> </w:t>
            </w:r>
            <w:r w:rsidRPr="00463F97">
              <w:rPr>
                <w:rFonts w:ascii="Times New Roman" w:eastAsia="Times New Roman" w:hAnsi="Times New Roman" w:cs="Times New Roman"/>
                <w:bCs/>
                <w:color w:val="000000"/>
                <w:sz w:val="24"/>
                <w:szCs w:val="24"/>
                <w:lang w:eastAsia="es-CR"/>
              </w:rPr>
              <w:t xml:space="preserve"> </w:t>
            </w:r>
          </w:p>
        </w:tc>
      </w:tr>
      <w:tr w:rsidR="00463F97" w:rsidRPr="00463F97" w14:paraId="0226C85E" w14:textId="77777777" w:rsidTr="00463F97">
        <w:tc>
          <w:tcPr>
            <w:tcW w:w="1456" w:type="dxa"/>
            <w:shd w:val="clear" w:color="auto" w:fill="FFFFFF" w:themeFill="background1"/>
          </w:tcPr>
          <w:p w14:paraId="6C212683" w14:textId="77777777" w:rsidR="00C26F35" w:rsidRPr="00463F97" w:rsidRDefault="00C26F3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lastRenderedPageBreak/>
              <w:t>Link a resolución:</w:t>
            </w:r>
          </w:p>
        </w:tc>
        <w:tc>
          <w:tcPr>
            <w:tcW w:w="7328" w:type="dxa"/>
            <w:shd w:val="clear" w:color="auto" w:fill="FFFFFF" w:themeFill="background1"/>
          </w:tcPr>
          <w:p w14:paraId="4ECF4F6C" w14:textId="2FF5D4E9" w:rsidR="00C26F35" w:rsidRPr="00463F97" w:rsidRDefault="00C02632" w:rsidP="00463F97">
            <w:pPr>
              <w:jc w:val="both"/>
              <w:rPr>
                <w:rFonts w:ascii="Times New Roman" w:hAnsi="Times New Roman" w:cs="Times New Roman"/>
                <w:bCs/>
                <w:sz w:val="24"/>
                <w:szCs w:val="24"/>
                <w:lang w:eastAsia="es-CR"/>
              </w:rPr>
            </w:pPr>
            <w:hyperlink r:id="rId12" w:history="1">
              <w:r w:rsidRPr="008E0F5C">
                <w:rPr>
                  <w:rFonts w:ascii="Times New Roman" w:eastAsia="Times New Roman" w:hAnsi="Times New Roman" w:cs="Times New Roman"/>
                  <w:bCs/>
                  <w:color w:val="339999"/>
                  <w:sz w:val="24"/>
                  <w:szCs w:val="24"/>
                  <w:u w:val="single"/>
                  <w:lang w:val="es-ES" w:eastAsia="es-CR"/>
                </w:rPr>
                <w:t>https://nexuspj.poder-judicial.go.cr/document/sen-1-0007-978476</w:t>
              </w:r>
            </w:hyperlink>
          </w:p>
        </w:tc>
      </w:tr>
      <w:tr w:rsidR="002F20A4" w:rsidRPr="00463F97" w14:paraId="3B34B4D3" w14:textId="77777777" w:rsidTr="00463F97">
        <w:tc>
          <w:tcPr>
            <w:tcW w:w="1456" w:type="dxa"/>
            <w:shd w:val="clear" w:color="auto" w:fill="2F5496" w:themeFill="accent1" w:themeFillShade="BF"/>
          </w:tcPr>
          <w:p w14:paraId="264AB1CE" w14:textId="77777777" w:rsidR="002F20A4" w:rsidRPr="00463F97" w:rsidRDefault="002F20A4" w:rsidP="00463F97">
            <w:pPr>
              <w:spacing w:after="100"/>
              <w:jc w:val="both"/>
              <w:rPr>
                <w:rFonts w:ascii="Times New Roman" w:eastAsia="Times New Roman" w:hAnsi="Times New Roman" w:cs="Times New Roman"/>
                <w:bCs/>
                <w:sz w:val="24"/>
                <w:szCs w:val="24"/>
                <w:lang w:eastAsia="es-CR"/>
              </w:rPr>
            </w:pPr>
          </w:p>
        </w:tc>
        <w:tc>
          <w:tcPr>
            <w:tcW w:w="7328" w:type="dxa"/>
            <w:shd w:val="clear" w:color="auto" w:fill="2F5496" w:themeFill="accent1" w:themeFillShade="BF"/>
          </w:tcPr>
          <w:p w14:paraId="1A94029B" w14:textId="77777777" w:rsidR="002F20A4" w:rsidRPr="00463F97" w:rsidRDefault="002F20A4" w:rsidP="00463F97">
            <w:pPr>
              <w:spacing w:after="100"/>
              <w:jc w:val="both"/>
              <w:rPr>
                <w:rFonts w:ascii="Times New Roman" w:eastAsia="Times New Roman" w:hAnsi="Times New Roman" w:cs="Times New Roman"/>
                <w:bCs/>
                <w:sz w:val="24"/>
                <w:szCs w:val="24"/>
                <w:lang w:eastAsia="es-CR"/>
              </w:rPr>
            </w:pPr>
          </w:p>
        </w:tc>
      </w:tr>
      <w:tr w:rsidR="00463F97" w:rsidRPr="00463F97" w14:paraId="286A383B" w14:textId="77777777" w:rsidTr="00463F97">
        <w:tc>
          <w:tcPr>
            <w:tcW w:w="1456" w:type="dxa"/>
            <w:shd w:val="clear" w:color="auto" w:fill="D9E2F3" w:themeFill="accent1" w:themeFillTint="33"/>
          </w:tcPr>
          <w:p w14:paraId="24E1615E" w14:textId="77777777" w:rsidR="00C26F35" w:rsidRPr="00463F97" w:rsidRDefault="00C26F3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Número de sentencia:</w:t>
            </w:r>
          </w:p>
        </w:tc>
        <w:tc>
          <w:tcPr>
            <w:tcW w:w="7328" w:type="dxa"/>
            <w:shd w:val="clear" w:color="auto" w:fill="D9E2F3" w:themeFill="accent1" w:themeFillTint="33"/>
          </w:tcPr>
          <w:p w14:paraId="756114DC" w14:textId="0C0D116A" w:rsidR="00C26F35" w:rsidRPr="00463F97" w:rsidRDefault="00505ECD" w:rsidP="00463F97">
            <w:pPr>
              <w:spacing w:after="100"/>
              <w:jc w:val="both"/>
              <w:rPr>
                <w:rFonts w:ascii="Times New Roman" w:eastAsia="Times New Roman" w:hAnsi="Times New Roman" w:cs="Times New Roman"/>
                <w:bCs/>
                <w:sz w:val="24"/>
                <w:szCs w:val="24"/>
                <w:lang w:eastAsia="es-CR"/>
              </w:rPr>
            </w:pPr>
            <w:r w:rsidRPr="00463F97">
              <w:rPr>
                <w:rFonts w:ascii="Times New Roman" w:hAnsi="Times New Roman" w:cs="Times New Roman"/>
                <w:bCs/>
                <w:sz w:val="24"/>
                <w:szCs w:val="24"/>
              </w:rPr>
              <w:t>2020-10608</w:t>
            </w:r>
          </w:p>
        </w:tc>
      </w:tr>
      <w:tr w:rsidR="00463F97" w:rsidRPr="00463F97" w14:paraId="705F8792" w14:textId="77777777" w:rsidTr="00463F97">
        <w:tc>
          <w:tcPr>
            <w:tcW w:w="1456" w:type="dxa"/>
          </w:tcPr>
          <w:p w14:paraId="0DFBF01A" w14:textId="77777777" w:rsidR="00C26F35" w:rsidRPr="00463F97" w:rsidRDefault="00C26F3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Fecha de resolución:</w:t>
            </w:r>
          </w:p>
        </w:tc>
        <w:tc>
          <w:tcPr>
            <w:tcW w:w="7328" w:type="dxa"/>
          </w:tcPr>
          <w:p w14:paraId="1536BF8F" w14:textId="5E0DF7B6" w:rsidR="00C26F35" w:rsidRPr="00463F97" w:rsidRDefault="00505ECD" w:rsidP="00463F97">
            <w:pPr>
              <w:shd w:val="clear" w:color="auto" w:fill="FFFFFF"/>
              <w:spacing w:before="100" w:beforeAutospacing="1" w:after="100" w:afterAutospacing="1"/>
              <w:jc w:val="both"/>
              <w:rPr>
                <w:rFonts w:ascii="Times New Roman" w:eastAsia="Times New Roman" w:hAnsi="Times New Roman" w:cs="Times New Roman"/>
                <w:bCs/>
                <w:color w:val="000000"/>
                <w:sz w:val="24"/>
                <w:szCs w:val="24"/>
                <w:highlight w:val="yellow"/>
                <w:lang w:eastAsia="es-CR"/>
              </w:rPr>
            </w:pPr>
            <w:r w:rsidRPr="00463F97">
              <w:rPr>
                <w:rFonts w:ascii="Times New Roman" w:eastAsia="Times New Roman" w:hAnsi="Times New Roman" w:cs="Times New Roman"/>
                <w:bCs/>
                <w:color w:val="000000"/>
                <w:sz w:val="24"/>
                <w:szCs w:val="24"/>
                <w:lang w:eastAsia="es-CR"/>
              </w:rPr>
              <w:t>10 de junio del 2020</w:t>
            </w:r>
          </w:p>
        </w:tc>
      </w:tr>
      <w:tr w:rsidR="00463F97" w:rsidRPr="00463F97" w14:paraId="73DC223E" w14:textId="77777777" w:rsidTr="00463F97">
        <w:tc>
          <w:tcPr>
            <w:tcW w:w="1456" w:type="dxa"/>
            <w:shd w:val="clear" w:color="auto" w:fill="D9D9D9" w:themeFill="background1" w:themeFillShade="D9"/>
          </w:tcPr>
          <w:p w14:paraId="1BE0D5D7" w14:textId="77777777" w:rsidR="00C26F35" w:rsidRPr="00463F97" w:rsidRDefault="00C26F3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Temática:</w:t>
            </w:r>
          </w:p>
        </w:tc>
        <w:tc>
          <w:tcPr>
            <w:tcW w:w="7328" w:type="dxa"/>
            <w:shd w:val="clear" w:color="auto" w:fill="D9D9D9" w:themeFill="background1" w:themeFillShade="D9"/>
          </w:tcPr>
          <w:p w14:paraId="1B785EDE" w14:textId="1A2672CF" w:rsidR="00C26F35" w:rsidRPr="00463F97" w:rsidRDefault="00505ECD"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Presupuesto</w:t>
            </w:r>
          </w:p>
        </w:tc>
      </w:tr>
      <w:tr w:rsidR="00463F97" w:rsidRPr="00463F97" w14:paraId="1ACAED40" w14:textId="77777777" w:rsidTr="00463F97">
        <w:tc>
          <w:tcPr>
            <w:tcW w:w="1456" w:type="dxa"/>
            <w:shd w:val="clear" w:color="auto" w:fill="8EAADB" w:themeFill="accent1" w:themeFillTint="99"/>
          </w:tcPr>
          <w:p w14:paraId="5F1A9C2F" w14:textId="77777777" w:rsidR="00C26F35" w:rsidRPr="00463F97" w:rsidRDefault="00C26F3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Tipo de asunto:</w:t>
            </w:r>
          </w:p>
        </w:tc>
        <w:tc>
          <w:tcPr>
            <w:tcW w:w="7328" w:type="dxa"/>
            <w:shd w:val="clear" w:color="auto" w:fill="8EAADB" w:themeFill="accent1" w:themeFillTint="99"/>
          </w:tcPr>
          <w:p w14:paraId="1AE69410" w14:textId="3839BCB7" w:rsidR="00C26F35" w:rsidRPr="00463F97" w:rsidRDefault="00505ECD"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Acción de inconstitucionalidad</w:t>
            </w:r>
          </w:p>
        </w:tc>
      </w:tr>
      <w:tr w:rsidR="00463F97" w:rsidRPr="00463F97" w14:paraId="73821962" w14:textId="77777777" w:rsidTr="00463F97">
        <w:tc>
          <w:tcPr>
            <w:tcW w:w="1456" w:type="dxa"/>
          </w:tcPr>
          <w:p w14:paraId="75FC7601" w14:textId="77777777" w:rsidR="00C26F35" w:rsidRPr="00463F97" w:rsidRDefault="00C26F3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Resumen:</w:t>
            </w:r>
          </w:p>
        </w:tc>
        <w:tc>
          <w:tcPr>
            <w:tcW w:w="7328" w:type="dxa"/>
          </w:tcPr>
          <w:p w14:paraId="714808AF" w14:textId="7AEC1BD9" w:rsidR="00C26F35" w:rsidRPr="00463F97" w:rsidRDefault="00505ECD" w:rsidP="00463F97">
            <w:pPr>
              <w:spacing w:after="160"/>
              <w:jc w:val="both"/>
              <w:rPr>
                <w:rFonts w:ascii="Times New Roman" w:eastAsia="Times New Roman" w:hAnsi="Times New Roman" w:cs="Times New Roman"/>
                <w:bCs/>
                <w:sz w:val="24"/>
                <w:szCs w:val="24"/>
                <w:lang w:val="es-ES"/>
              </w:rPr>
            </w:pPr>
            <w:r w:rsidRPr="00505ECD">
              <w:rPr>
                <w:rFonts w:ascii="Times New Roman" w:hAnsi="Times New Roman" w:cs="Times New Roman"/>
                <w:bCs/>
                <w:sz w:val="24"/>
                <w:szCs w:val="24"/>
              </w:rPr>
              <w:t>La Sala</w:t>
            </w:r>
            <w:r w:rsidRPr="00463F97">
              <w:rPr>
                <w:rFonts w:ascii="Times New Roman" w:hAnsi="Times New Roman" w:cs="Times New Roman"/>
                <w:bCs/>
                <w:sz w:val="24"/>
                <w:szCs w:val="24"/>
              </w:rPr>
              <w:t xml:space="preserve"> </w:t>
            </w:r>
            <w:r w:rsidRPr="00505ECD">
              <w:rPr>
                <w:rFonts w:ascii="Times New Roman" w:hAnsi="Times New Roman" w:cs="Times New Roman"/>
                <w:bCs/>
                <w:sz w:val="24"/>
                <w:szCs w:val="24"/>
              </w:rPr>
              <w:t xml:space="preserve">declaró inconstitucional </w:t>
            </w:r>
            <w:r w:rsidRPr="00505ECD">
              <w:rPr>
                <w:rFonts w:ascii="Times New Roman" w:eastAsia="Times New Roman" w:hAnsi="Times New Roman" w:cs="Times New Roman"/>
                <w:bCs/>
                <w:sz w:val="24"/>
                <w:szCs w:val="24"/>
                <w:lang w:val="es-ES"/>
              </w:rPr>
              <w:t xml:space="preserve">la omisión en la Ley de Presupuesto Ordinario y Extraordinario de la República (ejercicio económico 2018) de la partida correspondiente al incremento de la contribución del Estado para </w:t>
            </w:r>
            <w:bookmarkStart w:id="0" w:name="_Hlk42766536"/>
            <w:r w:rsidRPr="00505ECD">
              <w:rPr>
                <w:rFonts w:ascii="Times New Roman" w:eastAsia="Times New Roman" w:hAnsi="Times New Roman" w:cs="Times New Roman"/>
                <w:bCs/>
                <w:sz w:val="24"/>
                <w:szCs w:val="24"/>
                <w:lang w:val="es-ES"/>
              </w:rPr>
              <w:t>financiar las pensiones mínimas del Régimen de Invalidez</w:t>
            </w:r>
            <w:r w:rsidRPr="00505ECD">
              <w:rPr>
                <w:rFonts w:ascii="Times New Roman" w:eastAsia="Times New Roman" w:hAnsi="Times New Roman" w:cs="Times New Roman"/>
                <w:bCs/>
                <w:sz w:val="24"/>
                <w:szCs w:val="24"/>
              </w:rPr>
              <w:t>,</w:t>
            </w:r>
            <w:r w:rsidRPr="00505ECD">
              <w:rPr>
                <w:rFonts w:ascii="Times New Roman" w:eastAsia="Times New Roman" w:hAnsi="Times New Roman" w:cs="Times New Roman"/>
                <w:bCs/>
                <w:sz w:val="24"/>
                <w:szCs w:val="24"/>
                <w:lang w:val="es-ES"/>
              </w:rPr>
              <w:t xml:space="preserve"> Vejez y Muerte</w:t>
            </w:r>
            <w:bookmarkEnd w:id="0"/>
            <w:r w:rsidRPr="00505ECD">
              <w:rPr>
                <w:rFonts w:ascii="Times New Roman" w:eastAsia="Times New Roman" w:hAnsi="Times New Roman" w:cs="Times New Roman"/>
                <w:bCs/>
                <w:sz w:val="24"/>
                <w:szCs w:val="24"/>
                <w:lang w:val="es-ES"/>
              </w:rPr>
              <w:t>.</w:t>
            </w:r>
            <w:r w:rsidRPr="00463F97">
              <w:rPr>
                <w:rFonts w:ascii="Times New Roman" w:eastAsia="Times New Roman" w:hAnsi="Times New Roman" w:cs="Times New Roman"/>
                <w:bCs/>
                <w:sz w:val="24"/>
                <w:szCs w:val="24"/>
                <w:lang w:val="es-ES"/>
              </w:rPr>
              <w:t xml:space="preserve"> Se </w:t>
            </w:r>
            <w:r w:rsidRPr="00505ECD">
              <w:rPr>
                <w:rFonts w:ascii="Times New Roman" w:hAnsi="Times New Roman" w:cs="Times New Roman"/>
                <w:bCs/>
                <w:sz w:val="24"/>
                <w:szCs w:val="24"/>
              </w:rPr>
              <w:t xml:space="preserve">resguarda el Estado Social de Derecho, el cual se funda en </w:t>
            </w:r>
            <w:r w:rsidRPr="00505ECD">
              <w:rPr>
                <w:rFonts w:ascii="Times New Roman" w:eastAsia="Times New Roman" w:hAnsi="Times New Roman" w:cs="Times New Roman"/>
                <w:bCs/>
                <w:sz w:val="24"/>
                <w:szCs w:val="24"/>
              </w:rPr>
              <w:t xml:space="preserve">los principios de solidaridad social y de la dignidad humana. En este caso concreto, la Sala Constitucional protege a aquellas personas trabajadoras a quienes les correspondería un monto de pensión que no llega al mínimo otorgado por la </w:t>
            </w:r>
            <w:r w:rsidRPr="00505ECD">
              <w:rPr>
                <w:rFonts w:ascii="Times New Roman" w:eastAsia="Times New Roman" w:hAnsi="Times New Roman" w:cs="Times New Roman"/>
                <w:bCs/>
                <w:sz w:val="24"/>
                <w:szCs w:val="24"/>
                <w:lang w:val="es-ES"/>
              </w:rPr>
              <w:t>Caja Costarricense de Seguro Social (CCSS)</w:t>
            </w:r>
            <w:r w:rsidRPr="00505ECD">
              <w:rPr>
                <w:rFonts w:ascii="Times New Roman" w:eastAsia="Times New Roman" w:hAnsi="Times New Roman" w:cs="Times New Roman"/>
                <w:bCs/>
                <w:sz w:val="24"/>
                <w:szCs w:val="24"/>
              </w:rPr>
              <w:t>.</w:t>
            </w:r>
          </w:p>
        </w:tc>
      </w:tr>
      <w:tr w:rsidR="00463F97" w:rsidRPr="00463F97" w14:paraId="6A068F89" w14:textId="77777777" w:rsidTr="00463F97">
        <w:tc>
          <w:tcPr>
            <w:tcW w:w="1456" w:type="dxa"/>
            <w:shd w:val="clear" w:color="auto" w:fill="auto"/>
          </w:tcPr>
          <w:p w14:paraId="6114AF86" w14:textId="0239AAA3" w:rsidR="00C26F35" w:rsidRPr="00463F97" w:rsidRDefault="00C26F3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Link</w:t>
            </w:r>
            <w:r w:rsidR="00F745C6" w:rsidRPr="00463F97">
              <w:rPr>
                <w:rFonts w:ascii="Times New Roman" w:eastAsia="Times New Roman" w:hAnsi="Times New Roman" w:cs="Times New Roman"/>
                <w:bCs/>
                <w:sz w:val="24"/>
                <w:szCs w:val="24"/>
                <w:lang w:eastAsia="es-CR"/>
              </w:rPr>
              <w:t xml:space="preserve"> a más información</w:t>
            </w:r>
            <w:r w:rsidRPr="00463F97">
              <w:rPr>
                <w:rFonts w:ascii="Times New Roman" w:eastAsia="Times New Roman" w:hAnsi="Times New Roman" w:cs="Times New Roman"/>
                <w:bCs/>
                <w:sz w:val="24"/>
                <w:szCs w:val="24"/>
                <w:lang w:eastAsia="es-CR"/>
              </w:rPr>
              <w:t>:</w:t>
            </w:r>
          </w:p>
        </w:tc>
        <w:tc>
          <w:tcPr>
            <w:tcW w:w="7328" w:type="dxa"/>
            <w:shd w:val="clear" w:color="auto" w:fill="auto"/>
          </w:tcPr>
          <w:p w14:paraId="719E894F" w14:textId="0D69F914" w:rsidR="00C26F35" w:rsidRPr="00463F97" w:rsidRDefault="00F745C6" w:rsidP="00463F97">
            <w:pPr>
              <w:jc w:val="both"/>
              <w:rPr>
                <w:rFonts w:ascii="Times New Roman" w:hAnsi="Times New Roman" w:cs="Times New Roman"/>
                <w:bCs/>
                <w:sz w:val="24"/>
                <w:szCs w:val="24"/>
                <w:lang w:eastAsia="es-CR"/>
              </w:rPr>
            </w:pPr>
            <w:hyperlink r:id="rId13" w:history="1">
              <w:r w:rsidRPr="00463F97">
                <w:rPr>
                  <w:rFonts w:ascii="Times New Roman" w:hAnsi="Times New Roman" w:cs="Times New Roman"/>
                  <w:bCs/>
                  <w:color w:val="0000FF"/>
                  <w:sz w:val="24"/>
                  <w:szCs w:val="24"/>
                  <w:u w:val="single"/>
                </w:rPr>
                <w:t>https://salaconstitucional.poder-judicial.go.cr/index.php/component/content/article/72-comunicados/469-en-defensa-del-estado-social-de-derecho-sala-declara-inconstitucional-omision-de-monto-destinado-a-pensiones-del-regimen-de-ivm-en-presupuesto?Itemid=437</w:t>
              </w:r>
            </w:hyperlink>
          </w:p>
        </w:tc>
      </w:tr>
      <w:tr w:rsidR="00F745C6" w:rsidRPr="00463F97" w14:paraId="470D8B6C" w14:textId="77777777" w:rsidTr="00463F97">
        <w:tc>
          <w:tcPr>
            <w:tcW w:w="1456" w:type="dxa"/>
            <w:shd w:val="clear" w:color="auto" w:fill="2F5496" w:themeFill="accent1" w:themeFillShade="BF"/>
          </w:tcPr>
          <w:p w14:paraId="4BECBA23" w14:textId="77777777" w:rsidR="00F745C6" w:rsidRPr="00463F97" w:rsidRDefault="00F745C6" w:rsidP="00463F97">
            <w:pPr>
              <w:spacing w:after="100"/>
              <w:jc w:val="both"/>
              <w:rPr>
                <w:rFonts w:ascii="Times New Roman" w:eastAsia="Times New Roman" w:hAnsi="Times New Roman" w:cs="Times New Roman"/>
                <w:bCs/>
                <w:sz w:val="24"/>
                <w:szCs w:val="24"/>
                <w:lang w:eastAsia="es-CR"/>
              </w:rPr>
            </w:pPr>
          </w:p>
        </w:tc>
        <w:tc>
          <w:tcPr>
            <w:tcW w:w="7328" w:type="dxa"/>
            <w:shd w:val="clear" w:color="auto" w:fill="2F5496" w:themeFill="accent1" w:themeFillShade="BF"/>
          </w:tcPr>
          <w:p w14:paraId="53ADA130" w14:textId="77777777" w:rsidR="00F745C6" w:rsidRPr="00463F97" w:rsidRDefault="00F745C6" w:rsidP="00463F97">
            <w:pPr>
              <w:spacing w:after="100"/>
              <w:jc w:val="both"/>
              <w:rPr>
                <w:rFonts w:ascii="Times New Roman" w:eastAsia="Times New Roman" w:hAnsi="Times New Roman" w:cs="Times New Roman"/>
                <w:bCs/>
                <w:sz w:val="24"/>
                <w:szCs w:val="24"/>
                <w:lang w:eastAsia="es-CR"/>
              </w:rPr>
            </w:pPr>
          </w:p>
        </w:tc>
      </w:tr>
      <w:tr w:rsidR="00463F97" w:rsidRPr="00463F97" w14:paraId="21DCE170" w14:textId="77777777" w:rsidTr="00463F97">
        <w:tc>
          <w:tcPr>
            <w:tcW w:w="1456" w:type="dxa"/>
            <w:shd w:val="clear" w:color="auto" w:fill="D9E2F3" w:themeFill="accent1" w:themeFillTint="33"/>
          </w:tcPr>
          <w:p w14:paraId="18BD7415" w14:textId="77777777" w:rsidR="00C26F35" w:rsidRPr="00463F97" w:rsidRDefault="00C26F3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Número de sentencia:</w:t>
            </w:r>
          </w:p>
        </w:tc>
        <w:tc>
          <w:tcPr>
            <w:tcW w:w="7328" w:type="dxa"/>
            <w:shd w:val="clear" w:color="auto" w:fill="D9E2F3" w:themeFill="accent1" w:themeFillTint="33"/>
          </w:tcPr>
          <w:p w14:paraId="371B0007" w14:textId="0206B628" w:rsidR="00C26F35" w:rsidRPr="00463F97" w:rsidRDefault="00A2559C"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color w:val="000000"/>
                <w:sz w:val="24"/>
                <w:szCs w:val="24"/>
                <w:lang w:eastAsia="es-CR"/>
              </w:rPr>
              <w:t>2020-</w:t>
            </w:r>
            <w:r w:rsidRPr="00797B21">
              <w:rPr>
                <w:rFonts w:ascii="Times New Roman" w:eastAsia="Times New Roman" w:hAnsi="Times New Roman" w:cs="Times New Roman"/>
                <w:bCs/>
                <w:color w:val="000000"/>
                <w:sz w:val="24"/>
                <w:szCs w:val="24"/>
                <w:lang w:eastAsia="es-CR"/>
              </w:rPr>
              <w:t>010644</w:t>
            </w:r>
          </w:p>
        </w:tc>
      </w:tr>
      <w:tr w:rsidR="00463F97" w:rsidRPr="00463F97" w14:paraId="34939E22" w14:textId="77777777" w:rsidTr="00463F97">
        <w:tc>
          <w:tcPr>
            <w:tcW w:w="1456" w:type="dxa"/>
          </w:tcPr>
          <w:p w14:paraId="31C157CF" w14:textId="77777777" w:rsidR="00C26F35" w:rsidRPr="00463F97" w:rsidRDefault="00C26F3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Fecha de resolución:</w:t>
            </w:r>
          </w:p>
        </w:tc>
        <w:tc>
          <w:tcPr>
            <w:tcW w:w="7328" w:type="dxa"/>
          </w:tcPr>
          <w:p w14:paraId="61527D09" w14:textId="6A2F89C4" w:rsidR="00C26F35" w:rsidRPr="00463F97" w:rsidRDefault="00A2559C" w:rsidP="00463F97">
            <w:pPr>
              <w:shd w:val="clear" w:color="auto" w:fill="FFFFFF"/>
              <w:spacing w:before="100" w:beforeAutospacing="1" w:after="100" w:afterAutospacing="1"/>
              <w:jc w:val="both"/>
              <w:rPr>
                <w:rFonts w:ascii="Times New Roman" w:eastAsia="Times New Roman" w:hAnsi="Times New Roman" w:cs="Times New Roman"/>
                <w:bCs/>
                <w:color w:val="000000"/>
                <w:sz w:val="24"/>
                <w:szCs w:val="24"/>
                <w:lang w:eastAsia="es-CR"/>
              </w:rPr>
            </w:pPr>
            <w:r w:rsidRPr="00463F97">
              <w:rPr>
                <w:rFonts w:ascii="Times New Roman" w:eastAsia="Times New Roman" w:hAnsi="Times New Roman" w:cs="Times New Roman"/>
                <w:bCs/>
                <w:color w:val="000000"/>
                <w:sz w:val="24"/>
                <w:szCs w:val="24"/>
                <w:lang w:eastAsia="es-CR"/>
              </w:rPr>
              <w:t>12 de junio del 2020</w:t>
            </w:r>
          </w:p>
        </w:tc>
      </w:tr>
      <w:tr w:rsidR="00463F97" w:rsidRPr="00463F97" w14:paraId="03259DA0" w14:textId="77777777" w:rsidTr="00463F97">
        <w:tc>
          <w:tcPr>
            <w:tcW w:w="1456" w:type="dxa"/>
            <w:shd w:val="clear" w:color="auto" w:fill="D9D9D9" w:themeFill="background1" w:themeFillShade="D9"/>
          </w:tcPr>
          <w:p w14:paraId="1E264C5B" w14:textId="77777777" w:rsidR="00C26F35" w:rsidRPr="00463F97" w:rsidRDefault="00C26F3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Temática:</w:t>
            </w:r>
          </w:p>
        </w:tc>
        <w:tc>
          <w:tcPr>
            <w:tcW w:w="7328" w:type="dxa"/>
            <w:shd w:val="clear" w:color="auto" w:fill="D9D9D9" w:themeFill="background1" w:themeFillShade="D9"/>
          </w:tcPr>
          <w:p w14:paraId="3E4BF5E8" w14:textId="054F0CC0" w:rsidR="00C26F35" w:rsidRPr="00463F97" w:rsidRDefault="00A2559C"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Educación</w:t>
            </w:r>
          </w:p>
        </w:tc>
      </w:tr>
      <w:tr w:rsidR="00463F97" w:rsidRPr="00463F97" w14:paraId="22D06228" w14:textId="77777777" w:rsidTr="00463F97">
        <w:tc>
          <w:tcPr>
            <w:tcW w:w="1456" w:type="dxa"/>
            <w:shd w:val="clear" w:color="auto" w:fill="8EAADB" w:themeFill="accent1" w:themeFillTint="99"/>
          </w:tcPr>
          <w:p w14:paraId="551CBC85" w14:textId="77777777" w:rsidR="00C26F35" w:rsidRPr="00463F97" w:rsidRDefault="00C26F3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Tipo de asunto:</w:t>
            </w:r>
          </w:p>
        </w:tc>
        <w:tc>
          <w:tcPr>
            <w:tcW w:w="7328" w:type="dxa"/>
            <w:shd w:val="clear" w:color="auto" w:fill="8EAADB" w:themeFill="accent1" w:themeFillTint="99"/>
          </w:tcPr>
          <w:p w14:paraId="4A791967" w14:textId="20C799F5" w:rsidR="00C26F35" w:rsidRPr="00463F97" w:rsidRDefault="00A2559C"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Recurso de amparo</w:t>
            </w:r>
          </w:p>
        </w:tc>
      </w:tr>
      <w:tr w:rsidR="00463F97" w:rsidRPr="00463F97" w14:paraId="41C8ED6F" w14:textId="77777777" w:rsidTr="00463F97">
        <w:tc>
          <w:tcPr>
            <w:tcW w:w="1456" w:type="dxa"/>
          </w:tcPr>
          <w:p w14:paraId="2F5254ED" w14:textId="77777777" w:rsidR="00C26F35" w:rsidRPr="00463F97" w:rsidRDefault="00C26F3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Resumen:</w:t>
            </w:r>
          </w:p>
        </w:tc>
        <w:tc>
          <w:tcPr>
            <w:tcW w:w="7328" w:type="dxa"/>
          </w:tcPr>
          <w:p w14:paraId="18BBF509" w14:textId="0E479BA3" w:rsidR="00A2559C" w:rsidRPr="00797B21" w:rsidRDefault="00A2559C" w:rsidP="00463F97">
            <w:pPr>
              <w:spacing w:after="0"/>
              <w:jc w:val="both"/>
              <w:rPr>
                <w:rFonts w:ascii="Times New Roman" w:eastAsia="Times New Roman" w:hAnsi="Times New Roman" w:cs="Times New Roman"/>
                <w:bCs/>
                <w:color w:val="000000"/>
                <w:sz w:val="24"/>
                <w:szCs w:val="24"/>
                <w:lang w:eastAsia="es-CR"/>
              </w:rPr>
            </w:pPr>
            <w:r w:rsidRPr="00463F97">
              <w:rPr>
                <w:rFonts w:ascii="Times New Roman" w:eastAsia="Times New Roman" w:hAnsi="Times New Roman" w:cs="Times New Roman"/>
                <w:bCs/>
                <w:color w:val="000000"/>
                <w:sz w:val="24"/>
                <w:szCs w:val="24"/>
                <w:lang w:eastAsia="es-CR"/>
              </w:rPr>
              <w:t xml:space="preserve">Se ordena al MEP realizar la prueba de bachillerato pendiente a estudiante del “Programa de pruebas de Bachillerato de Educación Diversificada a </w:t>
            </w:r>
            <w:r w:rsidRPr="00463F97">
              <w:rPr>
                <w:rFonts w:ascii="Times New Roman" w:eastAsia="Times New Roman" w:hAnsi="Times New Roman" w:cs="Times New Roman"/>
                <w:bCs/>
                <w:color w:val="000000"/>
                <w:sz w:val="24"/>
                <w:szCs w:val="24"/>
                <w:lang w:eastAsia="es-CR"/>
              </w:rPr>
              <w:lastRenderedPageBreak/>
              <w:t>Distancia”, en el plazo de un mes, tomando en cuenta las medidas sanitarias y de distanciamiento social fijadas por el Ministerio de Salud.</w:t>
            </w:r>
            <w:r w:rsidRPr="00463F97">
              <w:rPr>
                <w:rFonts w:ascii="Times New Roman" w:eastAsia="Times New Roman" w:hAnsi="Times New Roman" w:cs="Times New Roman"/>
                <w:bCs/>
                <w:color w:val="000000"/>
                <w:sz w:val="24"/>
                <w:szCs w:val="24"/>
                <w:lang w:val="es-ES" w:eastAsia="es-ES"/>
              </w:rPr>
              <w:t xml:space="preserve"> </w:t>
            </w:r>
          </w:p>
          <w:p w14:paraId="0490CB03" w14:textId="77777777" w:rsidR="00C26F35" w:rsidRPr="00463F97" w:rsidRDefault="00C26F35" w:rsidP="00463F97">
            <w:pPr>
              <w:spacing w:after="0"/>
              <w:jc w:val="both"/>
              <w:rPr>
                <w:rFonts w:ascii="Times New Roman" w:hAnsi="Times New Roman" w:cs="Times New Roman"/>
                <w:bCs/>
                <w:sz w:val="24"/>
                <w:szCs w:val="24"/>
              </w:rPr>
            </w:pPr>
          </w:p>
        </w:tc>
      </w:tr>
      <w:tr w:rsidR="00463F97" w:rsidRPr="00463F97" w14:paraId="6F42E4B8" w14:textId="77777777" w:rsidTr="00463F97">
        <w:tc>
          <w:tcPr>
            <w:tcW w:w="1456" w:type="dxa"/>
            <w:shd w:val="clear" w:color="auto" w:fill="FFFFFF" w:themeFill="background1"/>
          </w:tcPr>
          <w:p w14:paraId="54498FC4" w14:textId="77777777" w:rsidR="00C26F35" w:rsidRPr="00463F97" w:rsidRDefault="00C26F3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lastRenderedPageBreak/>
              <w:t>Link a resolución:</w:t>
            </w:r>
          </w:p>
        </w:tc>
        <w:tc>
          <w:tcPr>
            <w:tcW w:w="7328" w:type="dxa"/>
            <w:shd w:val="clear" w:color="auto" w:fill="FFFFFF" w:themeFill="background1"/>
          </w:tcPr>
          <w:p w14:paraId="251D473E" w14:textId="6316E1FE" w:rsidR="00C26F35" w:rsidRPr="00463F97" w:rsidRDefault="00A2559C" w:rsidP="00463F97">
            <w:pPr>
              <w:jc w:val="both"/>
              <w:rPr>
                <w:rFonts w:ascii="Times New Roman" w:hAnsi="Times New Roman" w:cs="Times New Roman"/>
                <w:bCs/>
                <w:sz w:val="24"/>
                <w:szCs w:val="24"/>
                <w:lang w:eastAsia="es-CR"/>
              </w:rPr>
            </w:pPr>
            <w:hyperlink r:id="rId14" w:history="1">
              <w:r w:rsidRPr="00797B21">
                <w:rPr>
                  <w:rFonts w:ascii="Times New Roman" w:eastAsia="Times New Roman" w:hAnsi="Times New Roman" w:cs="Times New Roman"/>
                  <w:bCs/>
                  <w:color w:val="0000FF"/>
                  <w:sz w:val="24"/>
                  <w:szCs w:val="24"/>
                  <w:u w:val="single"/>
                  <w:lang w:val="es-ES" w:eastAsia="es-ES"/>
                </w:rPr>
                <w:t>https://nexuspj.poder-judicial.go.cr/document/sen-1-0007-979561</w:t>
              </w:r>
            </w:hyperlink>
          </w:p>
        </w:tc>
      </w:tr>
      <w:tr w:rsidR="00A2559C" w:rsidRPr="00463F97" w14:paraId="73DDE5C4" w14:textId="77777777" w:rsidTr="00463F97">
        <w:tc>
          <w:tcPr>
            <w:tcW w:w="1456" w:type="dxa"/>
            <w:shd w:val="clear" w:color="auto" w:fill="2F5496" w:themeFill="accent1" w:themeFillShade="BF"/>
          </w:tcPr>
          <w:p w14:paraId="313C1799" w14:textId="77777777" w:rsidR="00A2559C" w:rsidRPr="00463F97" w:rsidRDefault="00A2559C" w:rsidP="00463F97">
            <w:pPr>
              <w:spacing w:after="100"/>
              <w:jc w:val="both"/>
              <w:rPr>
                <w:rFonts w:ascii="Times New Roman" w:eastAsia="Times New Roman" w:hAnsi="Times New Roman" w:cs="Times New Roman"/>
                <w:bCs/>
                <w:sz w:val="24"/>
                <w:szCs w:val="24"/>
                <w:lang w:eastAsia="es-CR"/>
              </w:rPr>
            </w:pPr>
          </w:p>
        </w:tc>
        <w:tc>
          <w:tcPr>
            <w:tcW w:w="7328" w:type="dxa"/>
            <w:shd w:val="clear" w:color="auto" w:fill="2F5496" w:themeFill="accent1" w:themeFillShade="BF"/>
          </w:tcPr>
          <w:p w14:paraId="69621C20" w14:textId="77777777" w:rsidR="00A2559C" w:rsidRPr="00463F97" w:rsidRDefault="00A2559C" w:rsidP="00463F97">
            <w:pPr>
              <w:spacing w:after="100"/>
              <w:jc w:val="both"/>
              <w:rPr>
                <w:rFonts w:ascii="Times New Roman" w:eastAsia="Times New Roman" w:hAnsi="Times New Roman" w:cs="Times New Roman"/>
                <w:bCs/>
                <w:sz w:val="24"/>
                <w:szCs w:val="24"/>
                <w:lang w:eastAsia="es-CR"/>
              </w:rPr>
            </w:pPr>
          </w:p>
        </w:tc>
      </w:tr>
      <w:tr w:rsidR="00463F97" w:rsidRPr="00463F97" w14:paraId="1ECF13B3" w14:textId="77777777" w:rsidTr="00463F97">
        <w:tc>
          <w:tcPr>
            <w:tcW w:w="1456" w:type="dxa"/>
            <w:shd w:val="clear" w:color="auto" w:fill="D9E2F3" w:themeFill="accent1" w:themeFillTint="33"/>
          </w:tcPr>
          <w:p w14:paraId="744D66D2" w14:textId="77777777" w:rsidR="00C26F35" w:rsidRPr="00463F97" w:rsidRDefault="00C26F3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Número de sentencia:</w:t>
            </w:r>
          </w:p>
        </w:tc>
        <w:tc>
          <w:tcPr>
            <w:tcW w:w="7328" w:type="dxa"/>
            <w:shd w:val="clear" w:color="auto" w:fill="D9E2F3" w:themeFill="accent1" w:themeFillTint="33"/>
          </w:tcPr>
          <w:p w14:paraId="586E696B" w14:textId="5E6B2577" w:rsidR="00C26F35" w:rsidRPr="00463F97" w:rsidRDefault="00D33841" w:rsidP="00463F97">
            <w:pPr>
              <w:spacing w:after="100"/>
              <w:jc w:val="both"/>
              <w:rPr>
                <w:rFonts w:ascii="Times New Roman" w:eastAsia="Times New Roman" w:hAnsi="Times New Roman" w:cs="Times New Roman"/>
                <w:bCs/>
                <w:sz w:val="24"/>
                <w:szCs w:val="24"/>
                <w:lang w:eastAsia="es-CR"/>
              </w:rPr>
            </w:pPr>
            <w:bookmarkStart w:id="1" w:name="_Hlk43216192"/>
            <w:r w:rsidRPr="00463F97">
              <w:rPr>
                <w:rFonts w:ascii="Times New Roman" w:hAnsi="Times New Roman" w:cs="Times New Roman"/>
                <w:bCs/>
                <w:sz w:val="24"/>
                <w:szCs w:val="24"/>
              </w:rPr>
              <w:t>2020-011122</w:t>
            </w:r>
            <w:bookmarkEnd w:id="1"/>
          </w:p>
        </w:tc>
      </w:tr>
      <w:tr w:rsidR="00463F97" w:rsidRPr="00463F97" w14:paraId="20F2B29A" w14:textId="77777777" w:rsidTr="00463F97">
        <w:tc>
          <w:tcPr>
            <w:tcW w:w="1456" w:type="dxa"/>
          </w:tcPr>
          <w:p w14:paraId="09338E1A" w14:textId="77777777" w:rsidR="00C26F35" w:rsidRPr="00463F97" w:rsidRDefault="00C26F3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Fecha de resolución:</w:t>
            </w:r>
          </w:p>
        </w:tc>
        <w:tc>
          <w:tcPr>
            <w:tcW w:w="7328" w:type="dxa"/>
          </w:tcPr>
          <w:p w14:paraId="19DF2748" w14:textId="13021CDC" w:rsidR="00C26F35" w:rsidRPr="00463F97" w:rsidRDefault="00D33841" w:rsidP="00463F97">
            <w:pPr>
              <w:shd w:val="clear" w:color="auto" w:fill="FFFFFF"/>
              <w:spacing w:before="100" w:beforeAutospacing="1" w:after="100" w:afterAutospacing="1"/>
              <w:jc w:val="both"/>
              <w:rPr>
                <w:rFonts w:ascii="Times New Roman" w:eastAsia="Times New Roman" w:hAnsi="Times New Roman" w:cs="Times New Roman"/>
                <w:bCs/>
                <w:color w:val="000000"/>
                <w:sz w:val="24"/>
                <w:szCs w:val="24"/>
                <w:highlight w:val="yellow"/>
                <w:lang w:eastAsia="es-CR"/>
              </w:rPr>
            </w:pPr>
            <w:r w:rsidRPr="00463F97">
              <w:rPr>
                <w:rFonts w:ascii="Times New Roman" w:eastAsia="Times New Roman" w:hAnsi="Times New Roman" w:cs="Times New Roman"/>
                <w:bCs/>
                <w:color w:val="222222"/>
                <w:sz w:val="24"/>
                <w:szCs w:val="24"/>
                <w:lang w:eastAsia="es-CR"/>
              </w:rPr>
              <w:t>16 de junio del 2020</w:t>
            </w:r>
          </w:p>
        </w:tc>
      </w:tr>
      <w:tr w:rsidR="00463F97" w:rsidRPr="00463F97" w14:paraId="5AD4C1BB" w14:textId="77777777" w:rsidTr="00463F97">
        <w:tc>
          <w:tcPr>
            <w:tcW w:w="1456" w:type="dxa"/>
            <w:shd w:val="clear" w:color="auto" w:fill="D9D9D9" w:themeFill="background1" w:themeFillShade="D9"/>
          </w:tcPr>
          <w:p w14:paraId="19BA6F53" w14:textId="77777777" w:rsidR="00C26F35" w:rsidRPr="00463F97" w:rsidRDefault="00C26F3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Temática:</w:t>
            </w:r>
          </w:p>
        </w:tc>
        <w:tc>
          <w:tcPr>
            <w:tcW w:w="7328" w:type="dxa"/>
            <w:shd w:val="clear" w:color="auto" w:fill="D9D9D9" w:themeFill="background1" w:themeFillShade="D9"/>
          </w:tcPr>
          <w:p w14:paraId="204D9188" w14:textId="5E90FBE3" w:rsidR="00C26F35" w:rsidRPr="00463F97" w:rsidRDefault="00D33841"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Sesiones virtuales</w:t>
            </w:r>
          </w:p>
        </w:tc>
      </w:tr>
      <w:tr w:rsidR="00463F97" w:rsidRPr="00463F97" w14:paraId="327AF49C" w14:textId="77777777" w:rsidTr="00463F97">
        <w:tc>
          <w:tcPr>
            <w:tcW w:w="1456" w:type="dxa"/>
          </w:tcPr>
          <w:p w14:paraId="2F190D09" w14:textId="77777777" w:rsidR="00C26F35" w:rsidRPr="00463F97" w:rsidRDefault="00C26F3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Tipo de asunto:</w:t>
            </w:r>
          </w:p>
        </w:tc>
        <w:tc>
          <w:tcPr>
            <w:tcW w:w="7328" w:type="dxa"/>
          </w:tcPr>
          <w:p w14:paraId="6F15CD89" w14:textId="3E5717EB" w:rsidR="00C26F35" w:rsidRPr="00463F97" w:rsidRDefault="00D33841"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Consulta legislativa</w:t>
            </w:r>
          </w:p>
        </w:tc>
      </w:tr>
      <w:tr w:rsidR="00463F97" w:rsidRPr="00463F97" w14:paraId="20EEEACA" w14:textId="77777777" w:rsidTr="00463F97">
        <w:tc>
          <w:tcPr>
            <w:tcW w:w="1456" w:type="dxa"/>
          </w:tcPr>
          <w:p w14:paraId="3206D79E" w14:textId="77777777" w:rsidR="00C26F35" w:rsidRPr="00463F97" w:rsidRDefault="00C26F3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Resumen:</w:t>
            </w:r>
          </w:p>
        </w:tc>
        <w:tc>
          <w:tcPr>
            <w:tcW w:w="7328" w:type="dxa"/>
          </w:tcPr>
          <w:p w14:paraId="4B8AA529" w14:textId="4ADCA690" w:rsidR="00C26F35" w:rsidRPr="00463F97" w:rsidRDefault="00D33841" w:rsidP="00463F97">
            <w:pPr>
              <w:jc w:val="both"/>
              <w:rPr>
                <w:rFonts w:ascii="Times New Roman" w:eastAsia="Times New Roman" w:hAnsi="Times New Roman" w:cs="Times New Roman"/>
                <w:bCs/>
                <w:sz w:val="24"/>
                <w:szCs w:val="24"/>
              </w:rPr>
            </w:pPr>
            <w:r w:rsidRPr="00463F97">
              <w:rPr>
                <w:rFonts w:ascii="Times New Roman" w:hAnsi="Times New Roman" w:cs="Times New Roman"/>
                <w:bCs/>
                <w:sz w:val="24"/>
                <w:szCs w:val="24"/>
                <w:lang w:val="es-ES"/>
              </w:rPr>
              <w:t xml:space="preserve">La Sala no encontró vicios en la consulta legislativa facultativa sobre el proyecto </w:t>
            </w:r>
            <w:r w:rsidRPr="00463F97">
              <w:rPr>
                <w:rFonts w:ascii="Times New Roman" w:eastAsia="Times New Roman" w:hAnsi="Times New Roman" w:cs="Times New Roman"/>
                <w:bCs/>
                <w:sz w:val="24"/>
                <w:szCs w:val="24"/>
              </w:rPr>
              <w:t xml:space="preserve">de ley denominado: </w:t>
            </w:r>
            <w:r w:rsidRPr="00463F97">
              <w:rPr>
                <w:rFonts w:ascii="Times New Roman" w:eastAsia="Times New Roman" w:hAnsi="Times New Roman" w:cs="Times New Roman"/>
                <w:bCs/>
                <w:i/>
                <w:iCs/>
                <w:sz w:val="24"/>
                <w:szCs w:val="24"/>
              </w:rPr>
              <w:t>“Adición de los artículos 32 bis y 32 ter al Reglamento de la Asamblea Legislativa para habilitar el desarrollo excepcional de sesiones legislativas a través de medios tecnológicos”</w:t>
            </w:r>
            <w:r w:rsidRPr="00463F97">
              <w:rPr>
                <w:rFonts w:ascii="Times New Roman" w:eastAsia="Times New Roman" w:hAnsi="Times New Roman" w:cs="Times New Roman"/>
                <w:bCs/>
                <w:sz w:val="24"/>
                <w:szCs w:val="24"/>
              </w:rPr>
              <w:t>, que se tramita en el expediente legislativo número 21.903.</w:t>
            </w:r>
            <w:r w:rsidRPr="00463F97">
              <w:rPr>
                <w:rFonts w:ascii="Times New Roman" w:eastAsia="Times New Roman" w:hAnsi="Times New Roman" w:cs="Times New Roman"/>
                <w:bCs/>
                <w:sz w:val="24"/>
                <w:szCs w:val="24"/>
              </w:rPr>
              <w:t xml:space="preserve"> </w:t>
            </w:r>
            <w:r w:rsidRPr="00463F97">
              <w:rPr>
                <w:rFonts w:ascii="Times New Roman" w:eastAsia="Calibri" w:hAnsi="Times New Roman" w:cs="Times New Roman"/>
                <w:bCs/>
                <w:sz w:val="24"/>
                <w:szCs w:val="24"/>
              </w:rPr>
              <w:t xml:space="preserve">El Tribunal </w:t>
            </w:r>
            <w:r w:rsidRPr="00463F97">
              <w:rPr>
                <w:rFonts w:ascii="Times New Roman" w:eastAsia="Calibri" w:hAnsi="Times New Roman" w:cs="Times New Roman"/>
                <w:bCs/>
                <w:sz w:val="24"/>
                <w:szCs w:val="24"/>
                <w:lang w:val="es-ES"/>
              </w:rPr>
              <w:t xml:space="preserve">concluye que la </w:t>
            </w:r>
            <w:r w:rsidRPr="00463F97">
              <w:rPr>
                <w:rFonts w:ascii="Times New Roman" w:eastAsia="Calibri" w:hAnsi="Times New Roman" w:cs="Times New Roman"/>
                <w:bCs/>
                <w:sz w:val="24"/>
                <w:szCs w:val="24"/>
              </w:rPr>
              <w:t>adición de dos artículos al Reglamento de la Asamblea Legislativa, el artículo 32 bis y el artículo 32 ter (en donde se regula la habilitación de sesiones virtuales) está</w:t>
            </w:r>
            <w:r w:rsidRPr="00463F97">
              <w:rPr>
                <w:rFonts w:ascii="Times New Roman" w:eastAsia="Calibri" w:hAnsi="Times New Roman" w:cs="Times New Roman"/>
                <w:bCs/>
                <w:sz w:val="24"/>
                <w:szCs w:val="24"/>
                <w:lang w:val="es-ES"/>
              </w:rPr>
              <w:t xml:space="preserve"> </w:t>
            </w:r>
            <w:r w:rsidRPr="00463F97">
              <w:rPr>
                <w:rFonts w:ascii="Times New Roman" w:eastAsia="Calibri" w:hAnsi="Times New Roman" w:cs="Times New Roman"/>
                <w:bCs/>
                <w:sz w:val="24"/>
                <w:szCs w:val="24"/>
              </w:rPr>
              <w:t xml:space="preserve">dentro de la potestad de autorregulación del Congreso, y resulta razonable en atención al principio de eficiencia, tomando en consideración la pandemia que actualmente enfrenta el país. </w:t>
            </w:r>
          </w:p>
        </w:tc>
      </w:tr>
      <w:tr w:rsidR="00463F97" w:rsidRPr="00463F97" w14:paraId="346A1CE4" w14:textId="77777777" w:rsidTr="00463F97">
        <w:tc>
          <w:tcPr>
            <w:tcW w:w="1456" w:type="dxa"/>
            <w:shd w:val="clear" w:color="auto" w:fill="FFFFFF" w:themeFill="background1"/>
          </w:tcPr>
          <w:p w14:paraId="08B21982" w14:textId="412C0F87" w:rsidR="00C26F35" w:rsidRPr="00463F97" w:rsidRDefault="00C26F3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 xml:space="preserve">Link a </w:t>
            </w:r>
            <w:r w:rsidR="00D33841" w:rsidRPr="00463F97">
              <w:rPr>
                <w:rFonts w:ascii="Times New Roman" w:eastAsia="Times New Roman" w:hAnsi="Times New Roman" w:cs="Times New Roman"/>
                <w:bCs/>
                <w:sz w:val="24"/>
                <w:szCs w:val="24"/>
                <w:lang w:eastAsia="es-CR"/>
              </w:rPr>
              <w:t>más información</w:t>
            </w:r>
            <w:r w:rsidRPr="00463F97">
              <w:rPr>
                <w:rFonts w:ascii="Times New Roman" w:eastAsia="Times New Roman" w:hAnsi="Times New Roman" w:cs="Times New Roman"/>
                <w:bCs/>
                <w:sz w:val="24"/>
                <w:szCs w:val="24"/>
                <w:lang w:eastAsia="es-CR"/>
              </w:rPr>
              <w:t>:</w:t>
            </w:r>
          </w:p>
        </w:tc>
        <w:tc>
          <w:tcPr>
            <w:tcW w:w="7328" w:type="dxa"/>
            <w:shd w:val="clear" w:color="auto" w:fill="FFFFFF" w:themeFill="background1"/>
          </w:tcPr>
          <w:p w14:paraId="338946B3" w14:textId="6CFDE0F4" w:rsidR="00C26F35" w:rsidRPr="00463F97" w:rsidRDefault="00D33841" w:rsidP="00463F97">
            <w:pPr>
              <w:jc w:val="both"/>
              <w:rPr>
                <w:rFonts w:ascii="Times New Roman" w:hAnsi="Times New Roman" w:cs="Times New Roman"/>
                <w:bCs/>
                <w:sz w:val="24"/>
                <w:szCs w:val="24"/>
                <w:lang w:eastAsia="es-CR"/>
              </w:rPr>
            </w:pPr>
            <w:hyperlink r:id="rId15" w:history="1">
              <w:r w:rsidRPr="00463F97">
                <w:rPr>
                  <w:rFonts w:ascii="Times New Roman" w:hAnsi="Times New Roman" w:cs="Times New Roman"/>
                  <w:bCs/>
                  <w:color w:val="0000FF"/>
                  <w:sz w:val="24"/>
                  <w:szCs w:val="24"/>
                  <w:u w:val="single"/>
                </w:rPr>
                <w:t>https://salaconstitucional.poder-judicial.go.cr/index.php/component/content/article/72-comunicados/471-sala-constitucional-no-encuentra-vicios-en-proyecto-que-habilita-sesiones-legislativas-virtuales?Itemid=437</w:t>
              </w:r>
            </w:hyperlink>
          </w:p>
        </w:tc>
      </w:tr>
      <w:tr w:rsidR="00D33841" w:rsidRPr="00463F97" w14:paraId="525E8DAB" w14:textId="77777777" w:rsidTr="00463F97">
        <w:tc>
          <w:tcPr>
            <w:tcW w:w="1456" w:type="dxa"/>
            <w:shd w:val="clear" w:color="auto" w:fill="2F5496" w:themeFill="accent1" w:themeFillShade="BF"/>
          </w:tcPr>
          <w:p w14:paraId="264AE2F6" w14:textId="77777777" w:rsidR="00D33841" w:rsidRPr="00463F97" w:rsidRDefault="00D33841" w:rsidP="00463F97">
            <w:pPr>
              <w:spacing w:after="100"/>
              <w:jc w:val="both"/>
              <w:rPr>
                <w:rFonts w:ascii="Times New Roman" w:eastAsia="Times New Roman" w:hAnsi="Times New Roman" w:cs="Times New Roman"/>
                <w:bCs/>
                <w:sz w:val="24"/>
                <w:szCs w:val="24"/>
                <w:lang w:eastAsia="es-CR"/>
              </w:rPr>
            </w:pPr>
          </w:p>
        </w:tc>
        <w:tc>
          <w:tcPr>
            <w:tcW w:w="7328" w:type="dxa"/>
            <w:shd w:val="clear" w:color="auto" w:fill="2F5496" w:themeFill="accent1" w:themeFillShade="BF"/>
          </w:tcPr>
          <w:p w14:paraId="21F1BFFA" w14:textId="77777777" w:rsidR="00D33841" w:rsidRPr="00463F97" w:rsidRDefault="00D33841" w:rsidP="00463F97">
            <w:pPr>
              <w:spacing w:after="100"/>
              <w:jc w:val="both"/>
              <w:rPr>
                <w:rFonts w:ascii="Times New Roman" w:eastAsia="Times New Roman" w:hAnsi="Times New Roman" w:cs="Times New Roman"/>
                <w:bCs/>
                <w:sz w:val="24"/>
                <w:szCs w:val="24"/>
                <w:lang w:eastAsia="es-CR"/>
              </w:rPr>
            </w:pPr>
          </w:p>
        </w:tc>
      </w:tr>
      <w:tr w:rsidR="00463F97" w:rsidRPr="00463F97" w14:paraId="2743A76A" w14:textId="77777777" w:rsidTr="00463F97">
        <w:tc>
          <w:tcPr>
            <w:tcW w:w="1456" w:type="dxa"/>
            <w:shd w:val="clear" w:color="auto" w:fill="D9E2F3" w:themeFill="accent1" w:themeFillTint="33"/>
          </w:tcPr>
          <w:p w14:paraId="65E324D4" w14:textId="77777777" w:rsidR="00C26F35" w:rsidRPr="00463F97" w:rsidRDefault="00C26F3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Número de sentencia:</w:t>
            </w:r>
          </w:p>
        </w:tc>
        <w:tc>
          <w:tcPr>
            <w:tcW w:w="7328" w:type="dxa"/>
            <w:shd w:val="clear" w:color="auto" w:fill="D9E2F3" w:themeFill="accent1" w:themeFillTint="33"/>
          </w:tcPr>
          <w:p w14:paraId="5608B63A" w14:textId="07BC50F8" w:rsidR="00C26F35" w:rsidRPr="00463F97" w:rsidRDefault="00D33841" w:rsidP="00463F97">
            <w:pPr>
              <w:spacing w:after="100"/>
              <w:jc w:val="both"/>
              <w:rPr>
                <w:rFonts w:ascii="Times New Roman" w:eastAsia="Times New Roman" w:hAnsi="Times New Roman" w:cs="Times New Roman"/>
                <w:bCs/>
                <w:sz w:val="24"/>
                <w:szCs w:val="24"/>
                <w:lang w:eastAsia="es-CR"/>
              </w:rPr>
            </w:pPr>
            <w:r w:rsidRPr="00463F97">
              <w:rPr>
                <w:rFonts w:ascii="Times New Roman" w:eastAsia="Calibri" w:hAnsi="Times New Roman" w:cs="Times New Roman"/>
                <w:bCs/>
                <w:sz w:val="24"/>
                <w:szCs w:val="24"/>
              </w:rPr>
              <w:t>2020-</w:t>
            </w:r>
            <w:bookmarkStart w:id="2" w:name="_Hlk43285297"/>
            <w:r w:rsidRPr="00463F97">
              <w:rPr>
                <w:rFonts w:ascii="Times New Roman" w:eastAsia="Calibri" w:hAnsi="Times New Roman" w:cs="Times New Roman"/>
                <w:bCs/>
                <w:sz w:val="24"/>
                <w:szCs w:val="24"/>
              </w:rPr>
              <w:t>010961</w:t>
            </w:r>
            <w:bookmarkEnd w:id="2"/>
          </w:p>
        </w:tc>
      </w:tr>
      <w:tr w:rsidR="00463F97" w:rsidRPr="00463F97" w14:paraId="588A4C18" w14:textId="77777777" w:rsidTr="00463F97">
        <w:tc>
          <w:tcPr>
            <w:tcW w:w="1456" w:type="dxa"/>
          </w:tcPr>
          <w:p w14:paraId="697A46E7" w14:textId="77777777" w:rsidR="00C26F35" w:rsidRPr="00463F97" w:rsidRDefault="00C26F3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Fecha de resolución:</w:t>
            </w:r>
          </w:p>
        </w:tc>
        <w:tc>
          <w:tcPr>
            <w:tcW w:w="7328" w:type="dxa"/>
            <w:shd w:val="clear" w:color="auto" w:fill="FFFFFF" w:themeFill="background1"/>
          </w:tcPr>
          <w:p w14:paraId="12FEEB01" w14:textId="4CDF8B53" w:rsidR="00C26F35" w:rsidRPr="00463F97" w:rsidRDefault="00941FF9" w:rsidP="00463F97">
            <w:pPr>
              <w:shd w:val="clear" w:color="auto" w:fill="FFFFFF"/>
              <w:spacing w:before="100" w:beforeAutospacing="1" w:after="100" w:afterAutospacing="1"/>
              <w:jc w:val="both"/>
              <w:rPr>
                <w:rFonts w:ascii="Times New Roman" w:eastAsia="Times New Roman" w:hAnsi="Times New Roman" w:cs="Times New Roman"/>
                <w:bCs/>
                <w:color w:val="000000"/>
                <w:sz w:val="24"/>
                <w:szCs w:val="24"/>
                <w:lang w:eastAsia="es-CR"/>
              </w:rPr>
            </w:pPr>
            <w:r w:rsidRPr="00463F97">
              <w:rPr>
                <w:rFonts w:ascii="Times New Roman" w:eastAsia="Times New Roman" w:hAnsi="Times New Roman" w:cs="Times New Roman"/>
                <w:bCs/>
                <w:color w:val="000000" w:themeColor="text1"/>
                <w:sz w:val="24"/>
                <w:szCs w:val="24"/>
                <w:lang w:eastAsia="es-CR"/>
              </w:rPr>
              <w:t>17 de junio del 2020</w:t>
            </w:r>
          </w:p>
        </w:tc>
      </w:tr>
      <w:tr w:rsidR="00463F97" w:rsidRPr="00463F97" w14:paraId="4A19D3E9" w14:textId="77777777" w:rsidTr="00463F97">
        <w:tc>
          <w:tcPr>
            <w:tcW w:w="1456" w:type="dxa"/>
            <w:shd w:val="clear" w:color="auto" w:fill="D9D9D9" w:themeFill="background1" w:themeFillShade="D9"/>
          </w:tcPr>
          <w:p w14:paraId="4C96208A" w14:textId="77777777" w:rsidR="00C26F35" w:rsidRPr="00463F97" w:rsidRDefault="00C26F3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Temática:</w:t>
            </w:r>
          </w:p>
        </w:tc>
        <w:tc>
          <w:tcPr>
            <w:tcW w:w="7328" w:type="dxa"/>
            <w:shd w:val="clear" w:color="auto" w:fill="D9D9D9" w:themeFill="background1" w:themeFillShade="D9"/>
          </w:tcPr>
          <w:p w14:paraId="366B3695" w14:textId="3F0CF2E1" w:rsidR="00C26F35" w:rsidRPr="00463F97" w:rsidRDefault="00941FF9"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Libertad de prensa</w:t>
            </w:r>
          </w:p>
        </w:tc>
      </w:tr>
      <w:tr w:rsidR="00463F97" w:rsidRPr="00463F97" w14:paraId="0B092CF1" w14:textId="77777777" w:rsidTr="00463F97">
        <w:tc>
          <w:tcPr>
            <w:tcW w:w="1456" w:type="dxa"/>
            <w:shd w:val="clear" w:color="auto" w:fill="8EAADB" w:themeFill="accent1" w:themeFillTint="99"/>
          </w:tcPr>
          <w:p w14:paraId="5BE36D0E" w14:textId="77777777" w:rsidR="00C26F35" w:rsidRPr="00463F97" w:rsidRDefault="00C26F3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Tipo de asunto:</w:t>
            </w:r>
          </w:p>
        </w:tc>
        <w:tc>
          <w:tcPr>
            <w:tcW w:w="7328" w:type="dxa"/>
            <w:shd w:val="clear" w:color="auto" w:fill="8EAADB" w:themeFill="accent1" w:themeFillTint="99"/>
          </w:tcPr>
          <w:p w14:paraId="3EDBA301" w14:textId="7C14F975" w:rsidR="00C26F35" w:rsidRPr="00463F97" w:rsidRDefault="00941FF9"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Recurso de amparo</w:t>
            </w:r>
          </w:p>
        </w:tc>
      </w:tr>
      <w:tr w:rsidR="00463F97" w:rsidRPr="00463F97" w14:paraId="6C8103D6" w14:textId="77777777" w:rsidTr="00463F97">
        <w:tc>
          <w:tcPr>
            <w:tcW w:w="1456" w:type="dxa"/>
          </w:tcPr>
          <w:p w14:paraId="7A0DC947" w14:textId="77777777" w:rsidR="00C26F35" w:rsidRPr="00463F97" w:rsidRDefault="00C26F3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lastRenderedPageBreak/>
              <w:t>Resumen:</w:t>
            </w:r>
          </w:p>
        </w:tc>
        <w:tc>
          <w:tcPr>
            <w:tcW w:w="7328" w:type="dxa"/>
          </w:tcPr>
          <w:p w14:paraId="7DEF9DAD" w14:textId="484BADFD" w:rsidR="00C26F35" w:rsidRPr="00463F97" w:rsidRDefault="00941FF9" w:rsidP="00463F97">
            <w:pPr>
              <w:jc w:val="both"/>
              <w:rPr>
                <w:rFonts w:ascii="Times New Roman" w:hAnsi="Times New Roman" w:cs="Times New Roman"/>
                <w:bCs/>
                <w:sz w:val="24"/>
                <w:szCs w:val="24"/>
              </w:rPr>
            </w:pPr>
            <w:r w:rsidRPr="00463F97">
              <w:rPr>
                <w:rFonts w:ascii="Times New Roman" w:hAnsi="Times New Roman" w:cs="Times New Roman"/>
                <w:bCs/>
                <w:sz w:val="24"/>
                <w:szCs w:val="24"/>
              </w:rPr>
              <w:t xml:space="preserve">La Sala declaró con lugar un recurso de amparo interpuesto por </w:t>
            </w:r>
            <w:r w:rsidRPr="00463F97">
              <w:rPr>
                <w:rFonts w:ascii="Times New Roman" w:hAnsi="Times New Roman" w:cs="Times New Roman"/>
                <w:bCs/>
                <w:i/>
                <w:iCs/>
                <w:sz w:val="24"/>
                <w:szCs w:val="24"/>
              </w:rPr>
              <w:t>Diario Extra</w:t>
            </w:r>
            <w:r w:rsidRPr="00463F97">
              <w:rPr>
                <w:rFonts w:ascii="Times New Roman" w:hAnsi="Times New Roman" w:cs="Times New Roman"/>
                <w:bCs/>
                <w:sz w:val="24"/>
                <w:szCs w:val="24"/>
              </w:rPr>
              <w:t xml:space="preserve"> contra la Agencia de Protección de Datos de los Habitantes (Prodhab) por ordenarle, mediante una resolución administrativa, eliminar de sus registros electrónicos la fotografía que se utilizó para ilustrar una nota periodística publicada el 24 de junio del 2015, sobre un tema de interés público.</w:t>
            </w:r>
            <w:r w:rsidRPr="00463F97">
              <w:rPr>
                <w:rFonts w:ascii="Times New Roman" w:hAnsi="Times New Roman" w:cs="Times New Roman"/>
                <w:bCs/>
                <w:sz w:val="24"/>
                <w:szCs w:val="24"/>
              </w:rPr>
              <w:t xml:space="preserve"> </w:t>
            </w:r>
            <w:r w:rsidRPr="00463F97">
              <w:rPr>
                <w:rFonts w:ascii="Times New Roman" w:hAnsi="Times New Roman" w:cs="Times New Roman"/>
                <w:bCs/>
                <w:sz w:val="24"/>
                <w:szCs w:val="24"/>
              </w:rPr>
              <w:t>De forma unánime, el Tribunal ordenó anular lo resuelto por la Prodhab debido a que afecta el desempeño periodístico, informativo y noticioso y, con ello, el contenido esencial de la libertad de prensa del medio de comunicación amparado</w:t>
            </w:r>
            <w:r w:rsidRPr="00463F97">
              <w:rPr>
                <w:rFonts w:ascii="Times New Roman" w:hAnsi="Times New Roman" w:cs="Times New Roman"/>
                <w:bCs/>
                <w:color w:val="000000"/>
                <w:sz w:val="24"/>
                <w:szCs w:val="24"/>
                <w:bdr w:val="none" w:sz="0" w:space="0" w:color="auto" w:frame="1"/>
                <w:shd w:val="clear" w:color="auto" w:fill="FFFFFF"/>
              </w:rPr>
              <w:t>.</w:t>
            </w:r>
          </w:p>
        </w:tc>
      </w:tr>
      <w:tr w:rsidR="00463F97" w:rsidRPr="00463F97" w14:paraId="6AC620EC" w14:textId="77777777" w:rsidTr="00463F97">
        <w:tc>
          <w:tcPr>
            <w:tcW w:w="1456" w:type="dxa"/>
            <w:shd w:val="clear" w:color="auto" w:fill="FFFFFF" w:themeFill="background1"/>
          </w:tcPr>
          <w:p w14:paraId="2C7D0AAD" w14:textId="77777777" w:rsidR="00C26F35" w:rsidRPr="00463F97" w:rsidRDefault="00C26F3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Link a resolución:</w:t>
            </w:r>
          </w:p>
        </w:tc>
        <w:tc>
          <w:tcPr>
            <w:tcW w:w="7328" w:type="dxa"/>
            <w:shd w:val="clear" w:color="auto" w:fill="FFFFFF" w:themeFill="background1"/>
          </w:tcPr>
          <w:p w14:paraId="540F51E8" w14:textId="0192D208" w:rsidR="00C26F35" w:rsidRPr="00463F97" w:rsidRDefault="00941FF9" w:rsidP="00463F97">
            <w:pPr>
              <w:jc w:val="both"/>
              <w:rPr>
                <w:rFonts w:ascii="Times New Roman" w:hAnsi="Times New Roman" w:cs="Times New Roman"/>
                <w:bCs/>
                <w:sz w:val="24"/>
                <w:szCs w:val="24"/>
                <w:lang w:eastAsia="es-CR"/>
              </w:rPr>
            </w:pPr>
            <w:hyperlink r:id="rId16" w:history="1">
              <w:r w:rsidRPr="00463F97">
                <w:rPr>
                  <w:rFonts w:ascii="Times New Roman" w:hAnsi="Times New Roman" w:cs="Times New Roman"/>
                  <w:bCs/>
                  <w:color w:val="0000FF"/>
                  <w:sz w:val="24"/>
                  <w:szCs w:val="24"/>
                  <w:u w:val="single"/>
                </w:rPr>
                <w:t>https://nexuspj.poder-judicial.go.cr/document/sen-1-0007-979861</w:t>
              </w:r>
            </w:hyperlink>
          </w:p>
        </w:tc>
      </w:tr>
      <w:tr w:rsidR="00941FF9" w:rsidRPr="00463F97" w14:paraId="4E22A297" w14:textId="77777777" w:rsidTr="00463F97">
        <w:tc>
          <w:tcPr>
            <w:tcW w:w="1456" w:type="dxa"/>
            <w:shd w:val="clear" w:color="auto" w:fill="2F5496" w:themeFill="accent1" w:themeFillShade="BF"/>
          </w:tcPr>
          <w:p w14:paraId="25F3F45A" w14:textId="77777777" w:rsidR="00941FF9" w:rsidRPr="00463F97" w:rsidRDefault="00941FF9" w:rsidP="00463F97">
            <w:pPr>
              <w:spacing w:after="100"/>
              <w:jc w:val="both"/>
              <w:rPr>
                <w:rFonts w:ascii="Times New Roman" w:eastAsia="Times New Roman" w:hAnsi="Times New Roman" w:cs="Times New Roman"/>
                <w:bCs/>
                <w:sz w:val="24"/>
                <w:szCs w:val="24"/>
                <w:lang w:eastAsia="es-CR"/>
              </w:rPr>
            </w:pPr>
          </w:p>
        </w:tc>
        <w:tc>
          <w:tcPr>
            <w:tcW w:w="7328" w:type="dxa"/>
            <w:shd w:val="clear" w:color="auto" w:fill="2F5496" w:themeFill="accent1" w:themeFillShade="BF"/>
          </w:tcPr>
          <w:p w14:paraId="1AF1ED20" w14:textId="77777777" w:rsidR="00941FF9" w:rsidRPr="00463F97" w:rsidRDefault="00941FF9" w:rsidP="00463F97">
            <w:pPr>
              <w:spacing w:after="100"/>
              <w:jc w:val="both"/>
              <w:rPr>
                <w:rFonts w:ascii="Times New Roman" w:eastAsia="Times New Roman" w:hAnsi="Times New Roman" w:cs="Times New Roman"/>
                <w:bCs/>
                <w:sz w:val="24"/>
                <w:szCs w:val="24"/>
                <w:lang w:eastAsia="es-CR"/>
              </w:rPr>
            </w:pPr>
          </w:p>
        </w:tc>
      </w:tr>
      <w:tr w:rsidR="00463F97" w:rsidRPr="00463F97" w14:paraId="030AB616" w14:textId="77777777" w:rsidTr="00463F97">
        <w:tc>
          <w:tcPr>
            <w:tcW w:w="1456" w:type="dxa"/>
            <w:shd w:val="clear" w:color="auto" w:fill="D9E2F3" w:themeFill="accent1" w:themeFillTint="33"/>
          </w:tcPr>
          <w:p w14:paraId="4DE9F04D" w14:textId="77777777" w:rsidR="00C26F35" w:rsidRPr="00463F97" w:rsidRDefault="00C26F3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Número de sentencia:</w:t>
            </w:r>
          </w:p>
        </w:tc>
        <w:tc>
          <w:tcPr>
            <w:tcW w:w="7328" w:type="dxa"/>
            <w:shd w:val="clear" w:color="auto" w:fill="D9E2F3" w:themeFill="accent1" w:themeFillTint="33"/>
          </w:tcPr>
          <w:p w14:paraId="22B48979" w14:textId="68C23C13" w:rsidR="00C26F35" w:rsidRPr="00463F97" w:rsidRDefault="00941FF9" w:rsidP="00463F97">
            <w:pPr>
              <w:spacing w:after="100"/>
              <w:jc w:val="both"/>
              <w:rPr>
                <w:rFonts w:ascii="Times New Roman" w:eastAsia="Times New Roman" w:hAnsi="Times New Roman" w:cs="Times New Roman"/>
                <w:bCs/>
                <w:sz w:val="24"/>
                <w:szCs w:val="24"/>
                <w:lang w:eastAsia="es-CR"/>
              </w:rPr>
            </w:pPr>
            <w:r w:rsidRPr="00463F97">
              <w:rPr>
                <w:rFonts w:ascii="Times New Roman" w:eastAsia="Calibri" w:hAnsi="Times New Roman" w:cs="Times New Roman"/>
                <w:bCs/>
                <w:sz w:val="24"/>
                <w:szCs w:val="24"/>
              </w:rPr>
              <w:t>2020-11750</w:t>
            </w:r>
          </w:p>
        </w:tc>
      </w:tr>
      <w:tr w:rsidR="00463F97" w:rsidRPr="00463F97" w14:paraId="6C85A997" w14:textId="77777777" w:rsidTr="00463F97">
        <w:tc>
          <w:tcPr>
            <w:tcW w:w="1456" w:type="dxa"/>
          </w:tcPr>
          <w:p w14:paraId="4CF81646" w14:textId="77777777" w:rsidR="00C26F35" w:rsidRPr="00463F97" w:rsidRDefault="00C26F3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Fecha de resolución:</w:t>
            </w:r>
          </w:p>
        </w:tc>
        <w:tc>
          <w:tcPr>
            <w:tcW w:w="7328" w:type="dxa"/>
          </w:tcPr>
          <w:p w14:paraId="647B62AE" w14:textId="7A4DCD28" w:rsidR="00C26F35" w:rsidRPr="00463F97" w:rsidRDefault="00941FF9" w:rsidP="00463F97">
            <w:pPr>
              <w:shd w:val="clear" w:color="auto" w:fill="FFFFFF"/>
              <w:spacing w:before="100" w:beforeAutospacing="1" w:after="100" w:afterAutospacing="1"/>
              <w:jc w:val="both"/>
              <w:rPr>
                <w:rFonts w:ascii="Times New Roman" w:eastAsia="Times New Roman" w:hAnsi="Times New Roman" w:cs="Times New Roman"/>
                <w:bCs/>
                <w:color w:val="000000"/>
                <w:sz w:val="24"/>
                <w:szCs w:val="24"/>
                <w:highlight w:val="yellow"/>
                <w:lang w:eastAsia="es-CR"/>
              </w:rPr>
            </w:pPr>
            <w:r w:rsidRPr="00463F97">
              <w:rPr>
                <w:rFonts w:ascii="Times New Roman" w:eastAsia="Calibri" w:hAnsi="Times New Roman" w:cs="Times New Roman"/>
                <w:bCs/>
                <w:sz w:val="24"/>
                <w:szCs w:val="24"/>
                <w:shd w:val="clear" w:color="auto" w:fill="FFFFFF"/>
              </w:rPr>
              <w:t>26 de junio, 2020</w:t>
            </w:r>
          </w:p>
        </w:tc>
      </w:tr>
      <w:tr w:rsidR="00463F97" w:rsidRPr="00463F97" w14:paraId="22715434" w14:textId="77777777" w:rsidTr="00463F97">
        <w:tc>
          <w:tcPr>
            <w:tcW w:w="1456" w:type="dxa"/>
            <w:shd w:val="clear" w:color="auto" w:fill="D9D9D9" w:themeFill="background1" w:themeFillShade="D9"/>
          </w:tcPr>
          <w:p w14:paraId="5EC7F3C6" w14:textId="77777777" w:rsidR="00C26F35" w:rsidRPr="00463F97" w:rsidRDefault="00C26F3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Temática:</w:t>
            </w:r>
          </w:p>
        </w:tc>
        <w:tc>
          <w:tcPr>
            <w:tcW w:w="7328" w:type="dxa"/>
            <w:shd w:val="clear" w:color="auto" w:fill="D9D9D9" w:themeFill="background1" w:themeFillShade="D9"/>
          </w:tcPr>
          <w:p w14:paraId="37DFDEC1" w14:textId="6D13714D" w:rsidR="00C26F35" w:rsidRPr="00463F97" w:rsidRDefault="00941FF9"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Municipalidad</w:t>
            </w:r>
          </w:p>
        </w:tc>
      </w:tr>
      <w:tr w:rsidR="00463F97" w:rsidRPr="00463F97" w14:paraId="7357A716" w14:textId="77777777" w:rsidTr="00463F97">
        <w:tc>
          <w:tcPr>
            <w:tcW w:w="1456" w:type="dxa"/>
            <w:shd w:val="clear" w:color="auto" w:fill="8EAADB" w:themeFill="accent1" w:themeFillTint="99"/>
          </w:tcPr>
          <w:p w14:paraId="70B80A4E" w14:textId="77777777" w:rsidR="00C26F35" w:rsidRPr="00463F97" w:rsidRDefault="00C26F3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Tipo de asunto:</w:t>
            </w:r>
          </w:p>
        </w:tc>
        <w:tc>
          <w:tcPr>
            <w:tcW w:w="7328" w:type="dxa"/>
            <w:shd w:val="clear" w:color="auto" w:fill="8EAADB" w:themeFill="accent1" w:themeFillTint="99"/>
          </w:tcPr>
          <w:p w14:paraId="5F70541C" w14:textId="6D06EDCD" w:rsidR="00C26F35" w:rsidRPr="00463F97" w:rsidRDefault="00941FF9"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Recurso de amparo</w:t>
            </w:r>
          </w:p>
        </w:tc>
      </w:tr>
      <w:tr w:rsidR="00463F97" w:rsidRPr="00463F97" w14:paraId="4DB4A1DA" w14:textId="77777777" w:rsidTr="00463F97">
        <w:tc>
          <w:tcPr>
            <w:tcW w:w="1456" w:type="dxa"/>
          </w:tcPr>
          <w:p w14:paraId="04B1ECEF" w14:textId="77777777" w:rsidR="00C26F35" w:rsidRPr="00463F97" w:rsidRDefault="00C26F3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Resumen:</w:t>
            </w:r>
          </w:p>
        </w:tc>
        <w:tc>
          <w:tcPr>
            <w:tcW w:w="7328" w:type="dxa"/>
          </w:tcPr>
          <w:p w14:paraId="38DB3CB4" w14:textId="6A7172AF" w:rsidR="00C26F35" w:rsidRPr="00463F97" w:rsidRDefault="00941FF9" w:rsidP="00463F97">
            <w:pPr>
              <w:jc w:val="both"/>
              <w:rPr>
                <w:rFonts w:ascii="Times New Roman" w:hAnsi="Times New Roman" w:cs="Times New Roman"/>
                <w:bCs/>
                <w:sz w:val="24"/>
                <w:szCs w:val="24"/>
              </w:rPr>
            </w:pPr>
            <w:r w:rsidRPr="00463F97">
              <w:rPr>
                <w:rFonts w:ascii="Times New Roman" w:hAnsi="Times New Roman" w:cs="Times New Roman"/>
                <w:bCs/>
                <w:sz w:val="24"/>
                <w:szCs w:val="24"/>
              </w:rPr>
              <w:t>La Sala, en defensa de los principios de publicidad y transparencia, ordenó a la Municipalidad de Cartago transmitir en vivo las sesiones del Concejo Municipal a través de medios virtuales.</w:t>
            </w:r>
            <w:r w:rsidRPr="00463F97">
              <w:rPr>
                <w:rFonts w:ascii="Times New Roman" w:hAnsi="Times New Roman" w:cs="Times New Roman"/>
                <w:bCs/>
                <w:sz w:val="24"/>
                <w:szCs w:val="24"/>
              </w:rPr>
              <w:t xml:space="preserve"> </w:t>
            </w:r>
            <w:r w:rsidRPr="00463F97">
              <w:rPr>
                <w:rFonts w:ascii="Times New Roman" w:hAnsi="Times New Roman" w:cs="Times New Roman"/>
                <w:bCs/>
                <w:sz w:val="24"/>
                <w:szCs w:val="24"/>
              </w:rPr>
              <w:t>El Tribunal declaró parcialmente con lugar un recurso de amparo interpuesto por un ciudadano cartaginés, quien alegó que las sesiones del Concejo Municipal no estaban disponibles por medios tecnológicos, y que tampoco se permitía asistir a la barra de público debido a las medidas sanitarias impuestas a raíz de pandemia del COVID-19.</w:t>
            </w:r>
          </w:p>
        </w:tc>
      </w:tr>
      <w:tr w:rsidR="00463F97" w:rsidRPr="00463F97" w14:paraId="6C2A66D9" w14:textId="77777777" w:rsidTr="00463F97">
        <w:tc>
          <w:tcPr>
            <w:tcW w:w="1456" w:type="dxa"/>
            <w:shd w:val="clear" w:color="auto" w:fill="ACB9CA" w:themeFill="text2" w:themeFillTint="66"/>
          </w:tcPr>
          <w:p w14:paraId="25B20795" w14:textId="56E28387" w:rsidR="00C26F35" w:rsidRPr="00463F97" w:rsidRDefault="00C26F35" w:rsidP="00463F97">
            <w:pPr>
              <w:spacing w:after="100"/>
              <w:jc w:val="both"/>
              <w:rPr>
                <w:rFonts w:ascii="Times New Roman" w:eastAsia="Times New Roman" w:hAnsi="Times New Roman" w:cs="Times New Roman"/>
                <w:bCs/>
                <w:sz w:val="24"/>
                <w:szCs w:val="24"/>
                <w:lang w:eastAsia="es-CR"/>
              </w:rPr>
            </w:pPr>
            <w:r w:rsidRPr="00463F97">
              <w:rPr>
                <w:rFonts w:ascii="Times New Roman" w:eastAsia="Times New Roman" w:hAnsi="Times New Roman" w:cs="Times New Roman"/>
                <w:bCs/>
                <w:sz w:val="24"/>
                <w:szCs w:val="24"/>
                <w:lang w:eastAsia="es-CR"/>
              </w:rPr>
              <w:t xml:space="preserve">Link a </w:t>
            </w:r>
            <w:r w:rsidR="00941FF9" w:rsidRPr="00463F97">
              <w:rPr>
                <w:rFonts w:ascii="Times New Roman" w:eastAsia="Times New Roman" w:hAnsi="Times New Roman" w:cs="Times New Roman"/>
                <w:bCs/>
                <w:sz w:val="24"/>
                <w:szCs w:val="24"/>
                <w:lang w:eastAsia="es-CR"/>
              </w:rPr>
              <w:t>más información</w:t>
            </w:r>
          </w:p>
        </w:tc>
        <w:tc>
          <w:tcPr>
            <w:tcW w:w="7328" w:type="dxa"/>
            <w:shd w:val="clear" w:color="auto" w:fill="ACB9CA" w:themeFill="text2" w:themeFillTint="66"/>
          </w:tcPr>
          <w:p w14:paraId="39D99B5F" w14:textId="045CE5B9" w:rsidR="00C26F35" w:rsidRPr="00463F97" w:rsidRDefault="00941FF9" w:rsidP="00463F97">
            <w:pPr>
              <w:jc w:val="both"/>
              <w:rPr>
                <w:rFonts w:ascii="Times New Roman" w:hAnsi="Times New Roman" w:cs="Times New Roman"/>
                <w:bCs/>
                <w:sz w:val="24"/>
                <w:szCs w:val="24"/>
                <w:lang w:eastAsia="es-CR"/>
              </w:rPr>
            </w:pPr>
            <w:hyperlink r:id="rId17" w:history="1">
              <w:r w:rsidRPr="00463F97">
                <w:rPr>
                  <w:rFonts w:ascii="Times New Roman" w:hAnsi="Times New Roman" w:cs="Times New Roman"/>
                  <w:bCs/>
                  <w:color w:val="0000FF"/>
                  <w:sz w:val="24"/>
                  <w:szCs w:val="24"/>
                  <w:u w:val="single"/>
                </w:rPr>
                <w:t>https://www.facebook.com/265379483475963/posts/4473371599343376/?d=n</w:t>
              </w:r>
            </w:hyperlink>
          </w:p>
        </w:tc>
      </w:tr>
    </w:tbl>
    <w:p w14:paraId="31B87CC8" w14:textId="77777777" w:rsidR="00EE7E55" w:rsidRPr="00463F97" w:rsidRDefault="00EE7E55" w:rsidP="00463F97">
      <w:pPr>
        <w:jc w:val="both"/>
        <w:rPr>
          <w:rFonts w:ascii="Times New Roman" w:hAnsi="Times New Roman" w:cs="Times New Roman"/>
          <w:bCs/>
          <w:sz w:val="24"/>
          <w:szCs w:val="24"/>
        </w:rPr>
      </w:pPr>
    </w:p>
    <w:p w14:paraId="3D0A4DBB" w14:textId="77777777" w:rsidR="00797B21" w:rsidRPr="00463F97" w:rsidRDefault="00797B21" w:rsidP="00463F97">
      <w:pPr>
        <w:pStyle w:val="Prrafodelista"/>
        <w:jc w:val="both"/>
        <w:rPr>
          <w:rFonts w:ascii="Times New Roman" w:hAnsi="Times New Roman" w:cs="Times New Roman"/>
          <w:bCs/>
          <w:sz w:val="24"/>
          <w:szCs w:val="24"/>
        </w:rPr>
      </w:pPr>
    </w:p>
    <w:sectPr w:rsidR="00797B21" w:rsidRPr="00463F97" w:rsidSect="00E165E8">
      <w:head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CD25F" w14:textId="77777777" w:rsidR="00683CAC" w:rsidRDefault="00683CAC" w:rsidP="00463F97">
      <w:pPr>
        <w:spacing w:after="0" w:line="240" w:lineRule="auto"/>
      </w:pPr>
      <w:r>
        <w:separator/>
      </w:r>
    </w:p>
  </w:endnote>
  <w:endnote w:type="continuationSeparator" w:id="0">
    <w:p w14:paraId="5DE3DB7C" w14:textId="77777777" w:rsidR="00683CAC" w:rsidRDefault="00683CAC" w:rsidP="00463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644E9" w14:textId="77777777" w:rsidR="00683CAC" w:rsidRDefault="00683CAC" w:rsidP="00463F97">
      <w:pPr>
        <w:spacing w:after="0" w:line="240" w:lineRule="auto"/>
      </w:pPr>
      <w:r>
        <w:separator/>
      </w:r>
    </w:p>
  </w:footnote>
  <w:footnote w:type="continuationSeparator" w:id="0">
    <w:p w14:paraId="2A8D410C" w14:textId="77777777" w:rsidR="00683CAC" w:rsidRDefault="00683CAC" w:rsidP="00463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7488728"/>
      <w:docPartObj>
        <w:docPartGallery w:val="Page Numbers (Top of Page)"/>
        <w:docPartUnique/>
      </w:docPartObj>
    </w:sdtPr>
    <w:sdtContent>
      <w:p w14:paraId="075973C9" w14:textId="6F1F4446" w:rsidR="00463F97" w:rsidRDefault="00463F97">
        <w:pPr>
          <w:pStyle w:val="Encabezado"/>
          <w:jc w:val="right"/>
        </w:pPr>
        <w:r>
          <w:fldChar w:fldCharType="begin"/>
        </w:r>
        <w:r>
          <w:instrText>PAGE   \* MERGEFORMAT</w:instrText>
        </w:r>
        <w:r>
          <w:fldChar w:fldCharType="separate"/>
        </w:r>
        <w:r>
          <w:rPr>
            <w:lang w:val="es-ES"/>
          </w:rPr>
          <w:t>2</w:t>
        </w:r>
        <w:r>
          <w:fldChar w:fldCharType="end"/>
        </w:r>
      </w:p>
    </w:sdtContent>
  </w:sdt>
  <w:p w14:paraId="2EDFBBCF" w14:textId="77777777" w:rsidR="00463F97" w:rsidRDefault="00463F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B13905"/>
    <w:multiLevelType w:val="hybridMultilevel"/>
    <w:tmpl w:val="3EB4F9E4"/>
    <w:lvl w:ilvl="0" w:tplc="87B230E6">
      <w:start w:val="2"/>
      <w:numFmt w:val="bullet"/>
      <w:lvlText w:val=""/>
      <w:lvlJc w:val="left"/>
      <w:pPr>
        <w:ind w:left="720" w:hanging="360"/>
      </w:pPr>
      <w:rPr>
        <w:rFonts w:ascii="Symbol" w:eastAsia="Times New Roman"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4FB33E39"/>
    <w:multiLevelType w:val="hybridMultilevel"/>
    <w:tmpl w:val="D1FE9D34"/>
    <w:lvl w:ilvl="0" w:tplc="739ECFCE">
      <w:numFmt w:val="bullet"/>
      <w:lvlText w:val=""/>
      <w:lvlJc w:val="left"/>
      <w:pPr>
        <w:ind w:left="720" w:hanging="360"/>
      </w:pPr>
      <w:rPr>
        <w:rFonts w:ascii="Symbol" w:eastAsiaTheme="minorHAnsi" w:hAnsi="Symbol"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E55"/>
    <w:rsid w:val="002F20A4"/>
    <w:rsid w:val="00305C09"/>
    <w:rsid w:val="003067E1"/>
    <w:rsid w:val="00463F97"/>
    <w:rsid w:val="00464FC5"/>
    <w:rsid w:val="0049529F"/>
    <w:rsid w:val="00505ECD"/>
    <w:rsid w:val="005C1850"/>
    <w:rsid w:val="00683CAC"/>
    <w:rsid w:val="00797B21"/>
    <w:rsid w:val="008E0F5C"/>
    <w:rsid w:val="00941FF9"/>
    <w:rsid w:val="00A15137"/>
    <w:rsid w:val="00A2559C"/>
    <w:rsid w:val="00AA4E69"/>
    <w:rsid w:val="00BE1EB1"/>
    <w:rsid w:val="00BF7443"/>
    <w:rsid w:val="00C02632"/>
    <w:rsid w:val="00C26F35"/>
    <w:rsid w:val="00D33841"/>
    <w:rsid w:val="00D53B67"/>
    <w:rsid w:val="00EE7E55"/>
    <w:rsid w:val="00F745C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3ACC3"/>
  <w15:chartTrackingRefBased/>
  <w15:docId w15:val="{8AF13612-05D8-44EF-A459-65092310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E55"/>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E7E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EE7E55"/>
    <w:pPr>
      <w:ind w:left="720"/>
      <w:contextualSpacing/>
    </w:pPr>
  </w:style>
  <w:style w:type="character" w:styleId="Hipervnculo">
    <w:name w:val="Hyperlink"/>
    <w:rsid w:val="00797B21"/>
    <w:rPr>
      <w:color w:val="339999"/>
      <w:u w:val="single"/>
    </w:rPr>
  </w:style>
  <w:style w:type="paragraph" w:styleId="Encabezado">
    <w:name w:val="header"/>
    <w:basedOn w:val="Normal"/>
    <w:link w:val="EncabezadoCar"/>
    <w:uiPriority w:val="99"/>
    <w:unhideWhenUsed/>
    <w:rsid w:val="00463F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3F97"/>
  </w:style>
  <w:style w:type="paragraph" w:styleId="Piedepgina">
    <w:name w:val="footer"/>
    <w:basedOn w:val="Normal"/>
    <w:link w:val="PiedepginaCar"/>
    <w:uiPriority w:val="99"/>
    <w:unhideWhenUsed/>
    <w:rsid w:val="00463F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3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xuspj.poder-judicial.go.cr/document/sen-1-0007-978236" TargetMode="External"/><Relationship Id="rId13" Type="http://schemas.openxmlformats.org/officeDocument/2006/relationships/hyperlink" Target="https://salaconstitucional.poder-judicial.go.cr/index.php/component/content/article/72-comunicados/469-en-defensa-del-estado-social-de-derecho-sala-declara-inconstitucional-omision-de-monto-destinado-a-pensiones-del-regimen-de-ivm-en-presupuesto?Itemid=437"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nexuspj.poder-judicial.go.cr/document/sen-1-0007-978476" TargetMode="External"/><Relationship Id="rId17" Type="http://schemas.openxmlformats.org/officeDocument/2006/relationships/hyperlink" Target="https://www.facebook.com/265379483475963/posts/4473371599343376/?d=n" TargetMode="External"/><Relationship Id="rId2" Type="http://schemas.openxmlformats.org/officeDocument/2006/relationships/styles" Target="styles.xml"/><Relationship Id="rId16" Type="http://schemas.openxmlformats.org/officeDocument/2006/relationships/hyperlink" Target="https://nexuspj.poder-judicial.go.cr/document/sen-1-0007-97986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xuspj.poder-judicial.go.cr/document/sen-1-0007-978159" TargetMode="External"/><Relationship Id="rId5" Type="http://schemas.openxmlformats.org/officeDocument/2006/relationships/footnotes" Target="footnotes.xml"/><Relationship Id="rId15" Type="http://schemas.openxmlformats.org/officeDocument/2006/relationships/hyperlink" Target="https://salaconstitucional.poder-judicial.go.cr/index.php/component/content/article/72-comunicados/471-sala-constitucional-no-encuentra-vicios-en-proyecto-que-habilita-sesiones-legislativas-virtuales?Itemid=437" TargetMode="External"/><Relationship Id="rId10" Type="http://schemas.openxmlformats.org/officeDocument/2006/relationships/hyperlink" Target="https://nexuspj.poder-judicial.go.cr/document/sen-1-0007-97846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exuspj.poder-judicial.go.cr/document/sen-1-0007-978237" TargetMode="External"/><Relationship Id="rId14" Type="http://schemas.openxmlformats.org/officeDocument/2006/relationships/hyperlink" Target="https://nexuspj.poder-judicial.go.cr/document/sen-1-0007-97956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1542</Words>
  <Characters>8483</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Alonso Mata Blanco</dc:creator>
  <cp:keywords/>
  <dc:description/>
  <cp:lastModifiedBy>Alonso Mata Blanco</cp:lastModifiedBy>
  <cp:revision>2</cp:revision>
  <dcterms:created xsi:type="dcterms:W3CDTF">2020-07-01T17:33:00Z</dcterms:created>
  <dcterms:modified xsi:type="dcterms:W3CDTF">2020-07-01T17:33:00Z</dcterms:modified>
</cp:coreProperties>
</file>