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62BC1" w14:textId="77777777" w:rsidR="003746D2" w:rsidRPr="004D028A" w:rsidRDefault="003746D2" w:rsidP="003746D2">
      <w:pPr>
        <w:spacing w:after="200" w:line="276" w:lineRule="auto"/>
        <w:rPr>
          <w:rFonts w:ascii="Calibri" w:eastAsia="Calibri" w:hAnsi="Calibri" w:cs="Times New Roman"/>
        </w:rPr>
      </w:pPr>
      <w:r w:rsidRPr="004D028A">
        <w:rPr>
          <w:rFonts w:ascii="Calibri" w:eastAsia="Calibri" w:hAnsi="Calibri" w:cs="Times New Roman"/>
          <w:noProof/>
          <w:lang w:eastAsia="es-CR"/>
        </w:rPr>
        <w:drawing>
          <wp:inline distT="0" distB="0" distL="0" distR="0" wp14:anchorId="4F7639DF" wp14:editId="059702D0">
            <wp:extent cx="5608320" cy="2078990"/>
            <wp:effectExtent l="19050" t="0" r="0" b="0"/>
            <wp:docPr id="1"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6"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1"/>
        <w:tblW w:w="0" w:type="auto"/>
        <w:tblLook w:val="04A0" w:firstRow="1" w:lastRow="0" w:firstColumn="1" w:lastColumn="0" w:noHBand="0" w:noVBand="1"/>
      </w:tblPr>
      <w:tblGrid>
        <w:gridCol w:w="2513"/>
        <w:gridCol w:w="7"/>
        <w:gridCol w:w="6308"/>
      </w:tblGrid>
      <w:tr w:rsidR="003746D2" w:rsidRPr="004D028A" w14:paraId="190C75F2" w14:textId="77777777" w:rsidTr="00027250">
        <w:tc>
          <w:tcPr>
            <w:tcW w:w="8828" w:type="dxa"/>
            <w:gridSpan w:val="3"/>
            <w:shd w:val="clear" w:color="auto" w:fill="365F91"/>
          </w:tcPr>
          <w:p w14:paraId="15A94017" w14:textId="6CDCA798" w:rsidR="003746D2" w:rsidRPr="004D028A" w:rsidRDefault="003746D2" w:rsidP="003746D2">
            <w:pPr>
              <w:jc w:val="center"/>
              <w:rPr>
                <w:rFonts w:ascii="Arial" w:eastAsia="Calibri" w:hAnsi="Arial" w:cs="Arial"/>
                <w:b/>
                <w:color w:val="FFFF00"/>
                <w:sz w:val="36"/>
                <w:szCs w:val="36"/>
              </w:rPr>
            </w:pPr>
            <w:r w:rsidRPr="004D028A">
              <w:rPr>
                <w:rFonts w:ascii="Arial" w:eastAsia="Calibri" w:hAnsi="Arial" w:cs="Arial"/>
                <w:b/>
                <w:color w:val="FFFF00"/>
                <w:sz w:val="36"/>
                <w:szCs w:val="36"/>
              </w:rPr>
              <w:t>Sentencias relevantes de la Sala Constitucional #13- Edición junio 2020</w:t>
            </w:r>
          </w:p>
        </w:tc>
      </w:tr>
      <w:tr w:rsidR="003746D2" w:rsidRPr="004D028A" w14:paraId="67CCB09A" w14:textId="77777777" w:rsidTr="00027250">
        <w:tc>
          <w:tcPr>
            <w:tcW w:w="8828" w:type="dxa"/>
            <w:gridSpan w:val="3"/>
            <w:shd w:val="clear" w:color="auto" w:fill="BFBFBF"/>
          </w:tcPr>
          <w:p w14:paraId="0E157240" w14:textId="77777777" w:rsidR="003746D2" w:rsidRPr="004D028A" w:rsidRDefault="003746D2" w:rsidP="003746D2">
            <w:pPr>
              <w:jc w:val="both"/>
              <w:rPr>
                <w:rFonts w:ascii="Times New Roman" w:eastAsia="Calibri" w:hAnsi="Times New Roman" w:cs="Times New Roman"/>
                <w:sz w:val="24"/>
                <w:szCs w:val="24"/>
              </w:rPr>
            </w:pPr>
          </w:p>
        </w:tc>
      </w:tr>
      <w:tr w:rsidR="003746D2" w:rsidRPr="00252268" w14:paraId="4246D815" w14:textId="77777777" w:rsidTr="00027250">
        <w:tc>
          <w:tcPr>
            <w:tcW w:w="2513" w:type="dxa"/>
            <w:shd w:val="clear" w:color="auto" w:fill="DBE5F1"/>
          </w:tcPr>
          <w:p w14:paraId="329FFC5B"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Número de sentencia:</w:t>
            </w:r>
          </w:p>
        </w:tc>
        <w:tc>
          <w:tcPr>
            <w:tcW w:w="6315" w:type="dxa"/>
            <w:gridSpan w:val="2"/>
            <w:shd w:val="clear" w:color="auto" w:fill="DBE5F1"/>
          </w:tcPr>
          <w:p w14:paraId="3EA104ED" w14:textId="4BCA83E7" w:rsidR="003746D2" w:rsidRPr="00252268" w:rsidRDefault="00027250"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2020-007435</w:t>
            </w:r>
          </w:p>
        </w:tc>
      </w:tr>
      <w:tr w:rsidR="003746D2" w:rsidRPr="00252268" w14:paraId="4CD485EA" w14:textId="77777777" w:rsidTr="00027250">
        <w:tc>
          <w:tcPr>
            <w:tcW w:w="2513" w:type="dxa"/>
          </w:tcPr>
          <w:p w14:paraId="32DC6B41"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15" w:type="dxa"/>
            <w:gridSpan w:val="2"/>
          </w:tcPr>
          <w:p w14:paraId="4D0B7D58" w14:textId="5A892625" w:rsidR="003746D2" w:rsidRPr="00252268" w:rsidRDefault="00027250"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17 de abril del 2020</w:t>
            </w:r>
          </w:p>
        </w:tc>
      </w:tr>
      <w:tr w:rsidR="003746D2" w:rsidRPr="00252268" w14:paraId="6DA61559" w14:textId="77777777" w:rsidTr="00027250">
        <w:tc>
          <w:tcPr>
            <w:tcW w:w="2513" w:type="dxa"/>
            <w:shd w:val="clear" w:color="auto" w:fill="D9D9D9"/>
          </w:tcPr>
          <w:p w14:paraId="10223FE5"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15" w:type="dxa"/>
            <w:gridSpan w:val="2"/>
            <w:shd w:val="clear" w:color="auto" w:fill="D9D9D9"/>
          </w:tcPr>
          <w:p w14:paraId="0CF9FE86" w14:textId="0DBDF426" w:rsidR="003746D2" w:rsidRPr="00252268" w:rsidRDefault="00027250"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Pensiones alimentarias</w:t>
            </w:r>
          </w:p>
        </w:tc>
      </w:tr>
      <w:tr w:rsidR="003746D2" w:rsidRPr="00252268" w14:paraId="7D169596" w14:textId="77777777" w:rsidTr="00027250">
        <w:tc>
          <w:tcPr>
            <w:tcW w:w="2513" w:type="dxa"/>
          </w:tcPr>
          <w:p w14:paraId="178DD9CA"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15" w:type="dxa"/>
            <w:gridSpan w:val="2"/>
          </w:tcPr>
          <w:p w14:paraId="37E8E7EF" w14:textId="14FAC1E0" w:rsidR="003746D2" w:rsidRPr="00252268" w:rsidRDefault="00027250"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Habeas corpus</w:t>
            </w:r>
          </w:p>
        </w:tc>
      </w:tr>
      <w:tr w:rsidR="003746D2" w:rsidRPr="00252268" w14:paraId="3C5F8797" w14:textId="77777777" w:rsidTr="00027250">
        <w:tc>
          <w:tcPr>
            <w:tcW w:w="2513" w:type="dxa"/>
          </w:tcPr>
          <w:p w14:paraId="66758C8F"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15" w:type="dxa"/>
            <w:gridSpan w:val="2"/>
          </w:tcPr>
          <w:p w14:paraId="469E2789" w14:textId="7B391114" w:rsidR="003746D2" w:rsidRPr="00252268" w:rsidRDefault="00027250" w:rsidP="00252268">
            <w:pPr>
              <w:jc w:val="both"/>
              <w:rPr>
                <w:rFonts w:ascii="Times New Roman" w:eastAsia="Calibri" w:hAnsi="Times New Roman" w:cs="Times New Roman"/>
                <w:sz w:val="24"/>
                <w:szCs w:val="24"/>
              </w:rPr>
            </w:pPr>
            <w:r w:rsidRPr="00252268">
              <w:rPr>
                <w:rFonts w:ascii="Times New Roman" w:eastAsia="Calibri" w:hAnsi="Times New Roman" w:cs="Times New Roman"/>
                <w:sz w:val="24"/>
                <w:szCs w:val="24"/>
              </w:rPr>
              <w:t xml:space="preserve">Se reitera </w:t>
            </w:r>
            <w:r w:rsidR="00252268" w:rsidRPr="00252268">
              <w:rPr>
                <w:rFonts w:ascii="Times New Roman" w:eastAsia="Calibri" w:hAnsi="Times New Roman" w:cs="Times New Roman"/>
                <w:sz w:val="24"/>
                <w:szCs w:val="24"/>
              </w:rPr>
              <w:t>que,</w:t>
            </w:r>
            <w:r w:rsidRPr="00252268">
              <w:rPr>
                <w:rFonts w:ascii="Times New Roman" w:eastAsia="Calibri" w:hAnsi="Times New Roman" w:cs="Times New Roman"/>
                <w:sz w:val="24"/>
                <w:szCs w:val="24"/>
              </w:rPr>
              <w:t xml:space="preserve"> en materia de pensiones alimentarias, las resoluciones que impongan una pensión provisional o apremio corporal</w:t>
            </w:r>
            <w:r w:rsidR="00252268">
              <w:rPr>
                <w:rFonts w:ascii="Times New Roman" w:eastAsia="Calibri" w:hAnsi="Times New Roman" w:cs="Times New Roman"/>
                <w:sz w:val="24"/>
                <w:szCs w:val="24"/>
              </w:rPr>
              <w:t xml:space="preserve"> </w:t>
            </w:r>
            <w:r w:rsidRPr="00252268">
              <w:rPr>
                <w:rFonts w:ascii="Times New Roman" w:eastAsia="Calibri" w:hAnsi="Times New Roman" w:cs="Times New Roman"/>
                <w:sz w:val="24"/>
                <w:szCs w:val="24"/>
              </w:rPr>
              <w:t>deben ejecutarse de inmediato</w:t>
            </w:r>
            <w:r w:rsidR="00252268">
              <w:rPr>
                <w:rFonts w:ascii="Times New Roman" w:eastAsia="Calibri" w:hAnsi="Times New Roman" w:cs="Times New Roman"/>
                <w:sz w:val="24"/>
                <w:szCs w:val="24"/>
              </w:rPr>
              <w:t xml:space="preserve"> con el fin de garantizarlas</w:t>
            </w:r>
            <w:r w:rsidRPr="00252268">
              <w:rPr>
                <w:rFonts w:ascii="Times New Roman" w:eastAsia="Calibri" w:hAnsi="Times New Roman" w:cs="Times New Roman"/>
                <w:sz w:val="24"/>
                <w:szCs w:val="24"/>
              </w:rPr>
              <w:t>, aunque sean recurridas</w:t>
            </w:r>
            <w:r w:rsidRPr="00252268">
              <w:rPr>
                <w:rFonts w:ascii="Times New Roman" w:eastAsia="Calibri" w:hAnsi="Times New Roman" w:cs="Times New Roman"/>
                <w:sz w:val="24"/>
                <w:szCs w:val="24"/>
              </w:rPr>
              <w:t>.</w:t>
            </w:r>
          </w:p>
        </w:tc>
      </w:tr>
      <w:tr w:rsidR="003746D2" w:rsidRPr="00252268" w14:paraId="017FDD11" w14:textId="77777777" w:rsidTr="00027250">
        <w:tc>
          <w:tcPr>
            <w:tcW w:w="2513" w:type="dxa"/>
            <w:shd w:val="clear" w:color="auto" w:fill="8DB3E2"/>
          </w:tcPr>
          <w:p w14:paraId="37E17702"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Link a resolución:</w:t>
            </w:r>
          </w:p>
        </w:tc>
        <w:tc>
          <w:tcPr>
            <w:tcW w:w="6315" w:type="dxa"/>
            <w:gridSpan w:val="2"/>
            <w:shd w:val="clear" w:color="auto" w:fill="8DB3E2"/>
          </w:tcPr>
          <w:p w14:paraId="5F9F68AF" w14:textId="74AB9667" w:rsidR="003746D2" w:rsidRPr="00252268" w:rsidRDefault="00027250" w:rsidP="00252268">
            <w:pPr>
              <w:jc w:val="both"/>
              <w:rPr>
                <w:rFonts w:ascii="Times New Roman" w:eastAsia="Calibri" w:hAnsi="Times New Roman" w:cs="Times New Roman"/>
                <w:bCs/>
                <w:sz w:val="24"/>
                <w:szCs w:val="24"/>
                <w:lang w:eastAsia="es-CR"/>
              </w:rPr>
            </w:pPr>
            <w:hyperlink r:id="rId7" w:history="1">
              <w:r w:rsidRPr="00252268">
                <w:rPr>
                  <w:rStyle w:val="Hipervnculo"/>
                  <w:rFonts w:ascii="Times New Roman" w:eastAsia="Calibri" w:hAnsi="Times New Roman" w:cs="Times New Roman"/>
                  <w:bCs/>
                  <w:sz w:val="24"/>
                  <w:szCs w:val="24"/>
                  <w:lang w:val="es-ES" w:eastAsia="es-CR"/>
                </w:rPr>
                <w:t>https://nexuspj.poder-judicial.go.cr/document/sen-1-0007-969859</w:t>
              </w:r>
            </w:hyperlink>
          </w:p>
        </w:tc>
      </w:tr>
      <w:tr w:rsidR="003746D2" w:rsidRPr="00252268" w14:paraId="5A0444A2" w14:textId="77777777" w:rsidTr="00027250">
        <w:tc>
          <w:tcPr>
            <w:tcW w:w="2513" w:type="dxa"/>
            <w:shd w:val="clear" w:color="auto" w:fill="DBE5F1"/>
          </w:tcPr>
          <w:p w14:paraId="21508056"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Número de sentencia:</w:t>
            </w:r>
          </w:p>
        </w:tc>
        <w:tc>
          <w:tcPr>
            <w:tcW w:w="6315" w:type="dxa"/>
            <w:gridSpan w:val="2"/>
            <w:shd w:val="clear" w:color="auto" w:fill="DBE5F1"/>
          </w:tcPr>
          <w:p w14:paraId="28582EB3" w14:textId="6CD89A5F" w:rsidR="003746D2" w:rsidRPr="00252268" w:rsidRDefault="00027250"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2020-007736</w:t>
            </w:r>
          </w:p>
        </w:tc>
      </w:tr>
      <w:tr w:rsidR="003746D2" w:rsidRPr="00252268" w14:paraId="77B3A034" w14:textId="77777777" w:rsidTr="00027250">
        <w:tc>
          <w:tcPr>
            <w:tcW w:w="2513" w:type="dxa"/>
          </w:tcPr>
          <w:p w14:paraId="70C9D480"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15" w:type="dxa"/>
            <w:gridSpan w:val="2"/>
          </w:tcPr>
          <w:p w14:paraId="09EA2C56" w14:textId="5F3E8B75" w:rsidR="003746D2" w:rsidRPr="00252268" w:rsidRDefault="00027250"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24 de abril del 2020</w:t>
            </w:r>
          </w:p>
        </w:tc>
      </w:tr>
      <w:tr w:rsidR="003746D2" w:rsidRPr="00252268" w14:paraId="56A4FD6F" w14:textId="77777777" w:rsidTr="00027250">
        <w:tc>
          <w:tcPr>
            <w:tcW w:w="2520" w:type="dxa"/>
            <w:gridSpan w:val="2"/>
            <w:shd w:val="clear" w:color="auto" w:fill="D9D9D9"/>
          </w:tcPr>
          <w:p w14:paraId="4115D73D"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08" w:type="dxa"/>
            <w:shd w:val="clear" w:color="auto" w:fill="D9D9D9"/>
          </w:tcPr>
          <w:p w14:paraId="7DEF0BCF" w14:textId="22470772" w:rsidR="003746D2" w:rsidRPr="00252268" w:rsidRDefault="00027250"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Trabajo</w:t>
            </w:r>
          </w:p>
        </w:tc>
      </w:tr>
      <w:tr w:rsidR="003746D2" w:rsidRPr="00252268" w14:paraId="118F7A8A" w14:textId="77777777" w:rsidTr="00027250">
        <w:tc>
          <w:tcPr>
            <w:tcW w:w="2520" w:type="dxa"/>
            <w:gridSpan w:val="2"/>
          </w:tcPr>
          <w:p w14:paraId="129B6145"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08" w:type="dxa"/>
          </w:tcPr>
          <w:p w14:paraId="6DEF54A7" w14:textId="1F26504A" w:rsidR="003746D2" w:rsidRPr="00252268" w:rsidRDefault="00027250"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Recurso de amparo</w:t>
            </w:r>
          </w:p>
        </w:tc>
      </w:tr>
      <w:tr w:rsidR="003746D2" w:rsidRPr="00252268" w14:paraId="5B9047A4" w14:textId="77777777" w:rsidTr="00027250">
        <w:tc>
          <w:tcPr>
            <w:tcW w:w="2520" w:type="dxa"/>
            <w:gridSpan w:val="2"/>
          </w:tcPr>
          <w:p w14:paraId="485CBAF4"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08" w:type="dxa"/>
          </w:tcPr>
          <w:p w14:paraId="287CECAC" w14:textId="346EA13D" w:rsidR="003746D2" w:rsidRPr="00252268" w:rsidRDefault="00027250" w:rsidP="00252268">
            <w:pPr>
              <w:jc w:val="both"/>
              <w:rPr>
                <w:rFonts w:ascii="Times New Roman" w:eastAsia="Calibri" w:hAnsi="Times New Roman" w:cs="Times New Roman"/>
                <w:sz w:val="24"/>
                <w:szCs w:val="24"/>
              </w:rPr>
            </w:pPr>
            <w:r w:rsidRPr="00252268">
              <w:rPr>
                <w:rFonts w:ascii="Times New Roman" w:eastAsia="Calibri" w:hAnsi="Times New Roman" w:cs="Times New Roman"/>
                <w:sz w:val="24"/>
                <w:szCs w:val="24"/>
              </w:rPr>
              <w:t>El recurrente cuestiona que haya debido practicarse las pruebas anti doping ordenadas por su patrono; sin embargo, este Tribunal constata que el amparado suscribió un contrato con la empresa recurrida, en el que aceptó realizarse pruebas de esta naturaleza. En la cláusula décimo quinta del contrato de trabajo suscrito por el tutelado con la recurrida se indica: “Obligaciones del trabajador: El trabajador acepta expresamente a realizarse en forma voluntaria los exámenes médicos correspondientes y necesarios, cuando así lo requiera el patrono…”. Merced a lo anterior, la medida adoptada resulta legítima y proporcionada a los fines que persigue.</w:t>
            </w:r>
          </w:p>
        </w:tc>
      </w:tr>
      <w:tr w:rsidR="003746D2" w:rsidRPr="00252268" w14:paraId="56426942" w14:textId="77777777" w:rsidTr="00027250">
        <w:tc>
          <w:tcPr>
            <w:tcW w:w="2520" w:type="dxa"/>
            <w:gridSpan w:val="2"/>
            <w:shd w:val="clear" w:color="auto" w:fill="8DB3E2"/>
          </w:tcPr>
          <w:p w14:paraId="49195185"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lastRenderedPageBreak/>
              <w:t>Link a resolución:</w:t>
            </w:r>
          </w:p>
        </w:tc>
        <w:tc>
          <w:tcPr>
            <w:tcW w:w="6308" w:type="dxa"/>
            <w:shd w:val="clear" w:color="auto" w:fill="8DB3E2"/>
          </w:tcPr>
          <w:p w14:paraId="6B592737" w14:textId="60FE4954" w:rsidR="003746D2" w:rsidRPr="00252268" w:rsidRDefault="00B716A7" w:rsidP="00252268">
            <w:pPr>
              <w:jc w:val="both"/>
              <w:rPr>
                <w:rFonts w:ascii="Times New Roman" w:eastAsia="Calibri" w:hAnsi="Times New Roman" w:cs="Times New Roman"/>
                <w:bCs/>
                <w:sz w:val="24"/>
                <w:szCs w:val="24"/>
                <w:lang w:eastAsia="es-CR"/>
              </w:rPr>
            </w:pPr>
            <w:hyperlink r:id="rId8" w:history="1">
              <w:r w:rsidRPr="00027250">
                <w:rPr>
                  <w:rStyle w:val="Hipervnculo"/>
                  <w:rFonts w:ascii="Times New Roman" w:eastAsia="Calibri" w:hAnsi="Times New Roman" w:cs="Times New Roman"/>
                  <w:bCs/>
                  <w:sz w:val="24"/>
                  <w:szCs w:val="24"/>
                  <w:lang w:eastAsia="es-CR"/>
                </w:rPr>
                <w:t>https://nexuspj.poder-judicial.go.cr/document/sen-1-0007-970969</w:t>
              </w:r>
            </w:hyperlink>
          </w:p>
        </w:tc>
      </w:tr>
      <w:tr w:rsidR="003746D2" w:rsidRPr="00252268" w14:paraId="50AF51B8" w14:textId="77777777" w:rsidTr="00027250">
        <w:tc>
          <w:tcPr>
            <w:tcW w:w="2520" w:type="dxa"/>
            <w:gridSpan w:val="2"/>
            <w:shd w:val="clear" w:color="auto" w:fill="DBE5F1"/>
          </w:tcPr>
          <w:p w14:paraId="4CCCE19E"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Número de sentencia:</w:t>
            </w:r>
          </w:p>
        </w:tc>
        <w:tc>
          <w:tcPr>
            <w:tcW w:w="6308" w:type="dxa"/>
            <w:shd w:val="clear" w:color="auto" w:fill="DBE5F1"/>
          </w:tcPr>
          <w:p w14:paraId="6AF83FAA" w14:textId="7EFA9381" w:rsidR="003746D2" w:rsidRPr="00252268" w:rsidRDefault="004830B6"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2020-</w:t>
            </w:r>
            <w:r w:rsidRPr="00252268">
              <w:rPr>
                <w:rFonts w:ascii="Times New Roman" w:eastAsia="Times New Roman" w:hAnsi="Times New Roman" w:cs="Times New Roman"/>
                <w:bCs/>
                <w:sz w:val="24"/>
                <w:szCs w:val="24"/>
                <w:lang w:eastAsia="es-CR"/>
              </w:rPr>
              <w:t>007896</w:t>
            </w:r>
          </w:p>
        </w:tc>
      </w:tr>
      <w:tr w:rsidR="003746D2" w:rsidRPr="00252268" w14:paraId="108BA7E2" w14:textId="77777777" w:rsidTr="00027250">
        <w:tc>
          <w:tcPr>
            <w:tcW w:w="2520" w:type="dxa"/>
            <w:gridSpan w:val="2"/>
          </w:tcPr>
          <w:p w14:paraId="70DEEE83"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08" w:type="dxa"/>
          </w:tcPr>
          <w:p w14:paraId="3370FC4B" w14:textId="02C74B38" w:rsidR="003746D2" w:rsidRPr="00252268" w:rsidRDefault="004830B6"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24 de abril del 2020</w:t>
            </w:r>
          </w:p>
        </w:tc>
      </w:tr>
      <w:tr w:rsidR="003746D2" w:rsidRPr="00252268" w14:paraId="0686A803" w14:textId="77777777" w:rsidTr="00027250">
        <w:tc>
          <w:tcPr>
            <w:tcW w:w="2520" w:type="dxa"/>
            <w:gridSpan w:val="2"/>
            <w:shd w:val="clear" w:color="auto" w:fill="D9D9D9"/>
          </w:tcPr>
          <w:p w14:paraId="58B44C63"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08" w:type="dxa"/>
            <w:shd w:val="clear" w:color="auto" w:fill="D9D9D9"/>
          </w:tcPr>
          <w:p w14:paraId="17E35027" w14:textId="3BA79E9D" w:rsidR="003746D2"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Covid</w:t>
            </w:r>
            <w:r w:rsidR="00F27C11" w:rsidRPr="00252268">
              <w:rPr>
                <w:rFonts w:ascii="Times New Roman" w:eastAsia="Times New Roman" w:hAnsi="Times New Roman" w:cs="Times New Roman"/>
                <w:bCs/>
                <w:sz w:val="24"/>
                <w:szCs w:val="24"/>
                <w:lang w:eastAsia="es-CR"/>
              </w:rPr>
              <w:t xml:space="preserve"> 19</w:t>
            </w:r>
            <w:r w:rsidRPr="00252268">
              <w:rPr>
                <w:rFonts w:ascii="Times New Roman" w:eastAsia="Times New Roman" w:hAnsi="Times New Roman" w:cs="Times New Roman"/>
                <w:bCs/>
                <w:sz w:val="24"/>
                <w:szCs w:val="24"/>
                <w:lang w:eastAsia="es-CR"/>
              </w:rPr>
              <w:t>-restricción de tránsito</w:t>
            </w:r>
          </w:p>
        </w:tc>
      </w:tr>
      <w:tr w:rsidR="003746D2" w:rsidRPr="00252268" w14:paraId="4595DF6E" w14:textId="77777777" w:rsidTr="00027250">
        <w:tc>
          <w:tcPr>
            <w:tcW w:w="2520" w:type="dxa"/>
            <w:gridSpan w:val="2"/>
          </w:tcPr>
          <w:p w14:paraId="76E82545"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08" w:type="dxa"/>
          </w:tcPr>
          <w:p w14:paraId="42EAD262" w14:textId="298E662B" w:rsidR="003746D2"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Recurso de amparo</w:t>
            </w:r>
          </w:p>
        </w:tc>
      </w:tr>
      <w:tr w:rsidR="003746D2" w:rsidRPr="00252268" w14:paraId="611FC540" w14:textId="77777777" w:rsidTr="00027250">
        <w:tc>
          <w:tcPr>
            <w:tcW w:w="2520" w:type="dxa"/>
            <w:gridSpan w:val="2"/>
          </w:tcPr>
          <w:p w14:paraId="21A95308"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08" w:type="dxa"/>
          </w:tcPr>
          <w:p w14:paraId="77E32C19" w14:textId="67C304F4" w:rsidR="003746D2" w:rsidRPr="00252268" w:rsidRDefault="004830B6" w:rsidP="00252268">
            <w:pPr>
              <w:jc w:val="both"/>
              <w:rPr>
                <w:rFonts w:ascii="Times New Roman" w:hAnsi="Times New Roman" w:cs="Times New Roman"/>
                <w:sz w:val="24"/>
                <w:szCs w:val="24"/>
              </w:rPr>
            </w:pPr>
            <w:r w:rsidRPr="00252268">
              <w:rPr>
                <w:rFonts w:ascii="Times New Roman" w:hAnsi="Times New Roman" w:cs="Times New Roman"/>
                <w:sz w:val="24"/>
                <w:szCs w:val="24"/>
              </w:rPr>
              <w:t>Se cuestionan las medidas tomadas por el Poder Ejecutivo sobre el ingreso al país de servicio de transporte internacional (autobuses), a raíz del covid-19 (coronavirus). Se declara sin lugar, por cuanto consta que se han tomado una serie de medidas frente a la pandemia</w:t>
            </w:r>
            <w:r w:rsidR="00430F61" w:rsidRPr="00252268">
              <w:rPr>
                <w:rFonts w:ascii="Times New Roman" w:hAnsi="Times New Roman" w:cs="Times New Roman"/>
                <w:sz w:val="24"/>
                <w:szCs w:val="24"/>
              </w:rPr>
              <w:t xml:space="preserve">; </w:t>
            </w:r>
            <w:r w:rsidR="00430F61" w:rsidRPr="00252268">
              <w:rPr>
                <w:rFonts w:ascii="Times New Roman" w:hAnsi="Times New Roman" w:cs="Times New Roman"/>
                <w:sz w:val="24"/>
                <w:szCs w:val="24"/>
              </w:rPr>
              <w:t>Específicamente el ingreso de autobuses internacionales, dos veces al día, al país.</w:t>
            </w:r>
            <w:r w:rsidR="00430F61" w:rsidRPr="00252268">
              <w:rPr>
                <w:rFonts w:ascii="Times New Roman" w:hAnsi="Times New Roman" w:cs="Times New Roman"/>
                <w:sz w:val="24"/>
                <w:szCs w:val="24"/>
              </w:rPr>
              <w:t xml:space="preserve"> </w:t>
            </w:r>
            <w:r w:rsidR="00430F61" w:rsidRPr="00252268">
              <w:rPr>
                <w:rFonts w:ascii="Times New Roman" w:hAnsi="Times New Roman" w:cs="Times New Roman"/>
                <w:sz w:val="24"/>
                <w:szCs w:val="24"/>
              </w:rPr>
              <w:t>“(…) En consecuencia, al haberse acreditado que sí se han tomado actuaciones por parte del Estado costarricense para este supuesto en concreto, lo que procede es desestimar el recurso, ya que, en tesis de principio, no le corresponde a esta Sala determinar si las medidas de salud pública y de emergencia adoptadas por las autoridades recurridas son o no suficientes para atender la pandemia generada por el COVID-19. (…)”</w:t>
            </w:r>
          </w:p>
        </w:tc>
      </w:tr>
      <w:tr w:rsidR="003746D2" w:rsidRPr="00252268" w14:paraId="05ED96FF" w14:textId="77777777" w:rsidTr="00027250">
        <w:tc>
          <w:tcPr>
            <w:tcW w:w="2520" w:type="dxa"/>
            <w:gridSpan w:val="2"/>
            <w:shd w:val="clear" w:color="auto" w:fill="8DB3E2"/>
          </w:tcPr>
          <w:p w14:paraId="1ADEFFFE"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Link a resolución:</w:t>
            </w:r>
          </w:p>
        </w:tc>
        <w:tc>
          <w:tcPr>
            <w:tcW w:w="6308" w:type="dxa"/>
            <w:shd w:val="clear" w:color="auto" w:fill="8DB3E2"/>
          </w:tcPr>
          <w:p w14:paraId="780F81A5" w14:textId="6EBDEF39" w:rsidR="003746D2" w:rsidRPr="00252268" w:rsidRDefault="00430F61" w:rsidP="00252268">
            <w:pPr>
              <w:jc w:val="both"/>
              <w:rPr>
                <w:rFonts w:ascii="Times New Roman" w:eastAsia="Calibri" w:hAnsi="Times New Roman" w:cs="Times New Roman"/>
                <w:bCs/>
                <w:sz w:val="24"/>
                <w:szCs w:val="24"/>
                <w:lang w:eastAsia="es-CR"/>
              </w:rPr>
            </w:pPr>
            <w:hyperlink r:id="rId9" w:history="1">
              <w:r w:rsidRPr="00252268">
                <w:rPr>
                  <w:rStyle w:val="Hipervnculo"/>
                  <w:rFonts w:ascii="Times New Roman" w:eastAsia="Calibri" w:hAnsi="Times New Roman" w:cs="Times New Roman"/>
                  <w:bCs/>
                  <w:sz w:val="24"/>
                  <w:szCs w:val="24"/>
                  <w:lang w:eastAsia="es-CR"/>
                </w:rPr>
                <w:t>https://nexuspj.poder-judicial.go.cr/document/sen-1-0007-971274</w:t>
              </w:r>
            </w:hyperlink>
          </w:p>
        </w:tc>
      </w:tr>
      <w:tr w:rsidR="003746D2" w:rsidRPr="00252268" w14:paraId="4912E0CF" w14:textId="77777777" w:rsidTr="00027250">
        <w:tc>
          <w:tcPr>
            <w:tcW w:w="2520" w:type="dxa"/>
            <w:gridSpan w:val="2"/>
            <w:shd w:val="clear" w:color="auto" w:fill="DBE5F1"/>
          </w:tcPr>
          <w:p w14:paraId="06C67873"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Número de sentencia:</w:t>
            </w:r>
          </w:p>
        </w:tc>
        <w:tc>
          <w:tcPr>
            <w:tcW w:w="6308" w:type="dxa"/>
            <w:shd w:val="clear" w:color="auto" w:fill="DBE5F1"/>
          </w:tcPr>
          <w:p w14:paraId="07079605" w14:textId="29354247" w:rsidR="003746D2" w:rsidRPr="00252268" w:rsidRDefault="00F27C11" w:rsidP="00252268">
            <w:pPr>
              <w:spacing w:after="100"/>
              <w:jc w:val="both"/>
              <w:rPr>
                <w:rFonts w:ascii="Times New Roman" w:eastAsia="Times New Roman" w:hAnsi="Times New Roman" w:cs="Times New Roman"/>
                <w:sz w:val="24"/>
                <w:szCs w:val="24"/>
                <w:lang w:eastAsia="es-CR"/>
              </w:rPr>
            </w:pPr>
            <w:r w:rsidRPr="00252268">
              <w:rPr>
                <w:rFonts w:ascii="Times New Roman" w:eastAsia="Times New Roman" w:hAnsi="Times New Roman" w:cs="Times New Roman"/>
                <w:color w:val="000000"/>
                <w:sz w:val="24"/>
                <w:szCs w:val="24"/>
                <w:lang w:eastAsia="es-CR"/>
              </w:rPr>
              <w:t>2020-</w:t>
            </w:r>
            <w:r w:rsidRPr="00252268">
              <w:rPr>
                <w:rFonts w:ascii="Times New Roman" w:eastAsia="Times New Roman" w:hAnsi="Times New Roman" w:cs="Times New Roman"/>
                <w:color w:val="000000"/>
                <w:sz w:val="24"/>
                <w:szCs w:val="24"/>
                <w:lang w:eastAsia="es-CR"/>
              </w:rPr>
              <w:t>008126</w:t>
            </w:r>
          </w:p>
        </w:tc>
      </w:tr>
      <w:tr w:rsidR="003746D2" w:rsidRPr="00252268" w14:paraId="1F4A9D89" w14:textId="77777777" w:rsidTr="00027250">
        <w:tc>
          <w:tcPr>
            <w:tcW w:w="2520" w:type="dxa"/>
            <w:gridSpan w:val="2"/>
          </w:tcPr>
          <w:p w14:paraId="7447385E"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08" w:type="dxa"/>
          </w:tcPr>
          <w:p w14:paraId="6B4A5FD0" w14:textId="349DB2AE" w:rsidR="003746D2" w:rsidRPr="00252268" w:rsidRDefault="00F27C11"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28 de abril del 2020</w:t>
            </w:r>
          </w:p>
        </w:tc>
      </w:tr>
      <w:tr w:rsidR="003746D2" w:rsidRPr="00252268" w14:paraId="7E6E20AE" w14:textId="77777777" w:rsidTr="00027250">
        <w:tc>
          <w:tcPr>
            <w:tcW w:w="2520" w:type="dxa"/>
            <w:gridSpan w:val="2"/>
            <w:shd w:val="clear" w:color="auto" w:fill="D9D9D9"/>
          </w:tcPr>
          <w:p w14:paraId="0C8A44B3"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08" w:type="dxa"/>
            <w:shd w:val="clear" w:color="auto" w:fill="D9D9D9"/>
          </w:tcPr>
          <w:p w14:paraId="2F7A35C9" w14:textId="568E36EF" w:rsidR="003746D2" w:rsidRPr="00252268" w:rsidRDefault="00F27C1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Covid-19</w:t>
            </w:r>
          </w:p>
        </w:tc>
      </w:tr>
      <w:tr w:rsidR="003746D2" w:rsidRPr="00252268" w14:paraId="17B8B883" w14:textId="77777777" w:rsidTr="00027250">
        <w:tc>
          <w:tcPr>
            <w:tcW w:w="2520" w:type="dxa"/>
            <w:gridSpan w:val="2"/>
          </w:tcPr>
          <w:p w14:paraId="61E8AA0C"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08" w:type="dxa"/>
          </w:tcPr>
          <w:p w14:paraId="35D06B7F" w14:textId="2D88C052" w:rsidR="003746D2" w:rsidRPr="00252268" w:rsidRDefault="00F27C1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Recurso de amparo</w:t>
            </w:r>
          </w:p>
        </w:tc>
      </w:tr>
      <w:tr w:rsidR="003746D2" w:rsidRPr="00252268" w14:paraId="74EAE991" w14:textId="77777777" w:rsidTr="00027250">
        <w:tc>
          <w:tcPr>
            <w:tcW w:w="2520" w:type="dxa"/>
            <w:gridSpan w:val="2"/>
          </w:tcPr>
          <w:p w14:paraId="248B371C"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08" w:type="dxa"/>
          </w:tcPr>
          <w:p w14:paraId="0BCDE585" w14:textId="79E7C954" w:rsidR="003746D2" w:rsidRPr="00252268" w:rsidRDefault="00430F61" w:rsidP="00252268">
            <w:pPr>
              <w:jc w:val="both"/>
              <w:rPr>
                <w:rFonts w:ascii="Times New Roman" w:eastAsia="Calibri" w:hAnsi="Times New Roman" w:cs="Times New Roman"/>
                <w:sz w:val="24"/>
                <w:szCs w:val="24"/>
              </w:rPr>
            </w:pPr>
            <w:r w:rsidRPr="00252268">
              <w:rPr>
                <w:rFonts w:ascii="Times New Roman" w:eastAsia="Calibri" w:hAnsi="Times New Roman" w:cs="Times New Roman"/>
                <w:sz w:val="24"/>
                <w:szCs w:val="24"/>
              </w:rPr>
              <w:t>Se analiza un caso en donde se comprueba que el Ministerio de Relaciones Exteriores y Culto y la embajada de Costa Rica en Ecuador atendieron adecuadamente la situación de vulnerabilidad de una costarricense en ese país, en medio de la pandemia covid-19. Conforme a las posibilidades económicas existentes deben las autoridades brindar asistencia a los costarricenses que se encuentren en el extranjero.</w:t>
            </w:r>
          </w:p>
        </w:tc>
      </w:tr>
      <w:tr w:rsidR="003746D2" w:rsidRPr="00252268" w14:paraId="3F67EF06" w14:textId="77777777" w:rsidTr="00027250">
        <w:tc>
          <w:tcPr>
            <w:tcW w:w="2520" w:type="dxa"/>
            <w:gridSpan w:val="2"/>
            <w:shd w:val="clear" w:color="auto" w:fill="8DB3E2"/>
          </w:tcPr>
          <w:p w14:paraId="730F601A"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Link a resolución:</w:t>
            </w:r>
          </w:p>
        </w:tc>
        <w:tc>
          <w:tcPr>
            <w:tcW w:w="6308" w:type="dxa"/>
            <w:shd w:val="clear" w:color="auto" w:fill="8DB3E2"/>
          </w:tcPr>
          <w:p w14:paraId="2FE6AC2C" w14:textId="68537E56" w:rsidR="003746D2" w:rsidRPr="00252268" w:rsidRDefault="00F27C11" w:rsidP="00252268">
            <w:pPr>
              <w:jc w:val="both"/>
              <w:rPr>
                <w:rFonts w:ascii="Times New Roman" w:eastAsia="Calibri" w:hAnsi="Times New Roman" w:cs="Times New Roman"/>
                <w:bCs/>
                <w:sz w:val="24"/>
                <w:szCs w:val="24"/>
                <w:lang w:eastAsia="es-CR"/>
              </w:rPr>
            </w:pPr>
            <w:hyperlink r:id="rId10" w:history="1">
              <w:r w:rsidRPr="00252268">
                <w:rPr>
                  <w:rFonts w:ascii="Times New Roman" w:hAnsi="Times New Roman" w:cs="Times New Roman"/>
                  <w:bCs/>
                  <w:color w:val="0000FF"/>
                  <w:sz w:val="24"/>
                  <w:szCs w:val="24"/>
                  <w:u w:val="single"/>
                </w:rPr>
                <w:t>https://nexuspj.poder-judicial.go.cr/document/sen-1-0007-972700</w:t>
              </w:r>
            </w:hyperlink>
          </w:p>
        </w:tc>
      </w:tr>
      <w:tr w:rsidR="003746D2" w:rsidRPr="00252268" w14:paraId="62AFBBF7" w14:textId="77777777" w:rsidTr="00027250">
        <w:tc>
          <w:tcPr>
            <w:tcW w:w="2520" w:type="dxa"/>
            <w:gridSpan w:val="2"/>
            <w:shd w:val="clear" w:color="auto" w:fill="DBE5F1"/>
          </w:tcPr>
          <w:p w14:paraId="11498742"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Número de sentencia:</w:t>
            </w:r>
          </w:p>
        </w:tc>
        <w:tc>
          <w:tcPr>
            <w:tcW w:w="6308" w:type="dxa"/>
            <w:shd w:val="clear" w:color="auto" w:fill="DBE5F1"/>
          </w:tcPr>
          <w:p w14:paraId="4CD6ACCB" w14:textId="636ADB2A" w:rsidR="003746D2" w:rsidRPr="00252268" w:rsidRDefault="00F27C11" w:rsidP="00252268">
            <w:pPr>
              <w:spacing w:after="100"/>
              <w:jc w:val="both"/>
              <w:rPr>
                <w:rFonts w:ascii="Times New Roman" w:eastAsia="Times New Roman" w:hAnsi="Times New Roman" w:cs="Times New Roman"/>
                <w:bCs/>
                <w:sz w:val="24"/>
                <w:szCs w:val="24"/>
                <w:lang w:eastAsia="es-CR"/>
              </w:rPr>
            </w:pPr>
            <w:r w:rsidRPr="00252268">
              <w:rPr>
                <w:rFonts w:ascii="Times New Roman" w:hAnsi="Times New Roman" w:cs="Times New Roman"/>
                <w:sz w:val="24"/>
                <w:szCs w:val="24"/>
              </w:rPr>
              <w:t>2020-</w:t>
            </w:r>
            <w:r w:rsidRPr="00252268">
              <w:rPr>
                <w:rFonts w:ascii="Times New Roman" w:hAnsi="Times New Roman" w:cs="Times New Roman"/>
                <w:sz w:val="24"/>
                <w:szCs w:val="24"/>
              </w:rPr>
              <w:t>008235</w:t>
            </w:r>
          </w:p>
        </w:tc>
      </w:tr>
      <w:tr w:rsidR="003746D2" w:rsidRPr="00252268" w14:paraId="321FB453" w14:textId="77777777" w:rsidTr="00027250">
        <w:tc>
          <w:tcPr>
            <w:tcW w:w="2520" w:type="dxa"/>
            <w:gridSpan w:val="2"/>
          </w:tcPr>
          <w:p w14:paraId="0ACAD2DE"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08" w:type="dxa"/>
          </w:tcPr>
          <w:p w14:paraId="220843DA" w14:textId="1F8A799E" w:rsidR="003746D2" w:rsidRPr="00252268" w:rsidRDefault="00F27C11"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30 de abril del 2020</w:t>
            </w:r>
          </w:p>
        </w:tc>
      </w:tr>
      <w:tr w:rsidR="003746D2" w:rsidRPr="00252268" w14:paraId="28208450" w14:textId="77777777" w:rsidTr="00027250">
        <w:tc>
          <w:tcPr>
            <w:tcW w:w="2520" w:type="dxa"/>
            <w:gridSpan w:val="2"/>
            <w:shd w:val="clear" w:color="auto" w:fill="D9D9D9"/>
          </w:tcPr>
          <w:p w14:paraId="05559B7D"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08" w:type="dxa"/>
            <w:shd w:val="clear" w:color="auto" w:fill="D9D9D9"/>
          </w:tcPr>
          <w:p w14:paraId="403ABAE4" w14:textId="761D6CCD" w:rsidR="003746D2" w:rsidRPr="00252268" w:rsidRDefault="00F27C1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Covid-19</w:t>
            </w:r>
          </w:p>
        </w:tc>
      </w:tr>
      <w:tr w:rsidR="003746D2" w:rsidRPr="00252268" w14:paraId="1F6E0344" w14:textId="77777777" w:rsidTr="00027250">
        <w:tc>
          <w:tcPr>
            <w:tcW w:w="2520" w:type="dxa"/>
            <w:gridSpan w:val="2"/>
          </w:tcPr>
          <w:p w14:paraId="0280AF7B"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08" w:type="dxa"/>
          </w:tcPr>
          <w:p w14:paraId="1DD8C0ED" w14:textId="1DD63A4D" w:rsidR="003746D2" w:rsidRPr="00252268" w:rsidRDefault="00F27C1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Recurso de amparo</w:t>
            </w:r>
          </w:p>
        </w:tc>
      </w:tr>
      <w:tr w:rsidR="003746D2" w:rsidRPr="00252268" w14:paraId="0FD8C58A" w14:textId="77777777" w:rsidTr="00027250">
        <w:tc>
          <w:tcPr>
            <w:tcW w:w="2520" w:type="dxa"/>
            <w:gridSpan w:val="2"/>
          </w:tcPr>
          <w:p w14:paraId="5A8016E7" w14:textId="77777777" w:rsidR="003746D2" w:rsidRPr="00252268" w:rsidRDefault="003746D2"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08" w:type="dxa"/>
          </w:tcPr>
          <w:p w14:paraId="7EFB7587" w14:textId="49C19A4F" w:rsidR="003746D2" w:rsidRPr="00252268" w:rsidRDefault="00F27C11" w:rsidP="00252268">
            <w:pPr>
              <w:jc w:val="both"/>
              <w:rPr>
                <w:rFonts w:ascii="Times New Roman" w:eastAsia="Calibri" w:hAnsi="Times New Roman" w:cs="Times New Roman"/>
                <w:sz w:val="24"/>
                <w:szCs w:val="24"/>
              </w:rPr>
            </w:pPr>
            <w:r w:rsidRPr="00252268">
              <w:rPr>
                <w:rFonts w:ascii="Times New Roman" w:hAnsi="Times New Roman" w:cs="Times New Roman"/>
                <w:sz w:val="24"/>
                <w:szCs w:val="24"/>
              </w:rPr>
              <w:t>Poder Judicial. Se rechaza de plano recurso de amparo contra decisiones tomadas por Corte Plena ante la pandemia de covid-19 (coronavirus), sobre la derogación de plazos procesales</w:t>
            </w:r>
          </w:p>
        </w:tc>
      </w:tr>
      <w:tr w:rsidR="00430F61" w:rsidRPr="00252268" w14:paraId="1BA463DE" w14:textId="77777777" w:rsidTr="003B2EDF">
        <w:tc>
          <w:tcPr>
            <w:tcW w:w="2520" w:type="dxa"/>
            <w:gridSpan w:val="2"/>
            <w:shd w:val="clear" w:color="auto" w:fill="8DB3E2"/>
            <w:vAlign w:val="center"/>
          </w:tcPr>
          <w:p w14:paraId="0A1EFE9A" w14:textId="4D0EA447" w:rsidR="00430F61" w:rsidRPr="00252268" w:rsidRDefault="00F27C11" w:rsidP="00252268">
            <w:pPr>
              <w:spacing w:after="100"/>
              <w:jc w:val="both"/>
              <w:rPr>
                <w:rFonts w:ascii="Times New Roman" w:eastAsia="Times New Roman" w:hAnsi="Times New Roman" w:cs="Times New Roman"/>
                <w:sz w:val="24"/>
                <w:szCs w:val="24"/>
                <w:lang w:eastAsia="es-CR"/>
              </w:rPr>
            </w:pPr>
            <w:r w:rsidRPr="00252268">
              <w:rPr>
                <w:rFonts w:ascii="Times New Roman" w:eastAsia="Times New Roman" w:hAnsi="Times New Roman" w:cs="Times New Roman"/>
                <w:color w:val="000000"/>
                <w:sz w:val="24"/>
                <w:szCs w:val="24"/>
                <w:lang w:eastAsia="es-CR"/>
              </w:rPr>
              <w:lastRenderedPageBreak/>
              <w:t>Link a resolución:</w:t>
            </w:r>
            <w:r w:rsidR="00430F61" w:rsidRPr="00252268">
              <w:rPr>
                <w:rFonts w:ascii="Times New Roman" w:eastAsia="Times New Roman" w:hAnsi="Times New Roman" w:cs="Times New Roman"/>
                <w:color w:val="000000"/>
                <w:sz w:val="24"/>
                <w:szCs w:val="24"/>
                <w:lang w:eastAsia="es-CR"/>
              </w:rPr>
              <w:t xml:space="preserve"> </w:t>
            </w:r>
          </w:p>
        </w:tc>
        <w:tc>
          <w:tcPr>
            <w:tcW w:w="6308" w:type="dxa"/>
            <w:shd w:val="clear" w:color="auto" w:fill="8DB3E2"/>
            <w:vAlign w:val="center"/>
          </w:tcPr>
          <w:p w14:paraId="14D49165" w14:textId="77777777" w:rsidR="00F27C11" w:rsidRPr="00252268" w:rsidRDefault="00F27C11" w:rsidP="00252268">
            <w:pPr>
              <w:jc w:val="both"/>
              <w:rPr>
                <w:rFonts w:ascii="Times New Roman" w:hAnsi="Times New Roman" w:cs="Times New Roman"/>
                <w:sz w:val="24"/>
                <w:szCs w:val="24"/>
              </w:rPr>
            </w:pPr>
            <w:hyperlink r:id="rId11" w:history="1">
              <w:r w:rsidRPr="00252268">
                <w:rPr>
                  <w:rStyle w:val="Hipervnculo"/>
                  <w:rFonts w:ascii="Times New Roman" w:hAnsi="Times New Roman" w:cs="Times New Roman"/>
                  <w:sz w:val="24"/>
                  <w:szCs w:val="24"/>
                </w:rPr>
                <w:t>https://nexuspj.poder-judicial.go.cr/document/sen-1-0007-972424</w:t>
              </w:r>
            </w:hyperlink>
          </w:p>
          <w:p w14:paraId="621A07A6" w14:textId="76A428A5" w:rsidR="00430F61" w:rsidRPr="00252268" w:rsidRDefault="00430F61" w:rsidP="00252268">
            <w:pPr>
              <w:jc w:val="both"/>
              <w:rPr>
                <w:rFonts w:ascii="Times New Roman" w:eastAsia="Calibri" w:hAnsi="Times New Roman" w:cs="Times New Roman"/>
                <w:bCs/>
                <w:sz w:val="24"/>
                <w:szCs w:val="24"/>
                <w:lang w:eastAsia="es-CR"/>
              </w:rPr>
            </w:pPr>
          </w:p>
        </w:tc>
      </w:tr>
      <w:tr w:rsidR="00430F61" w:rsidRPr="00252268" w14:paraId="381EF075" w14:textId="77777777" w:rsidTr="00027250">
        <w:tc>
          <w:tcPr>
            <w:tcW w:w="2520" w:type="dxa"/>
            <w:gridSpan w:val="2"/>
            <w:shd w:val="clear" w:color="auto" w:fill="DBE5F1"/>
          </w:tcPr>
          <w:p w14:paraId="0C97F918"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Número de sentencia:</w:t>
            </w:r>
          </w:p>
        </w:tc>
        <w:tc>
          <w:tcPr>
            <w:tcW w:w="6308" w:type="dxa"/>
            <w:shd w:val="clear" w:color="auto" w:fill="DBE5F1"/>
          </w:tcPr>
          <w:p w14:paraId="3D3BBF19" w14:textId="11731A46" w:rsidR="00430F61" w:rsidRPr="00252268" w:rsidRDefault="00E828D7" w:rsidP="00252268">
            <w:pPr>
              <w:spacing w:after="100"/>
              <w:jc w:val="both"/>
              <w:rPr>
                <w:rFonts w:ascii="Times New Roman" w:eastAsia="Times New Roman" w:hAnsi="Times New Roman" w:cs="Times New Roman"/>
                <w:bCs/>
                <w:sz w:val="24"/>
                <w:szCs w:val="24"/>
                <w:lang w:eastAsia="es-CR"/>
              </w:rPr>
            </w:pPr>
            <w:r w:rsidRPr="00252268">
              <w:rPr>
                <w:rFonts w:ascii="Times New Roman" w:hAnsi="Times New Roman" w:cs="Times New Roman"/>
                <w:sz w:val="24"/>
                <w:szCs w:val="24"/>
              </w:rPr>
              <w:t>2020-</w:t>
            </w:r>
            <w:r w:rsidRPr="00252268">
              <w:rPr>
                <w:rFonts w:ascii="Times New Roman" w:hAnsi="Times New Roman" w:cs="Times New Roman"/>
                <w:sz w:val="24"/>
                <w:szCs w:val="24"/>
              </w:rPr>
              <w:t>008254</w:t>
            </w:r>
          </w:p>
        </w:tc>
      </w:tr>
      <w:tr w:rsidR="00430F61" w:rsidRPr="00252268" w14:paraId="5E80982F" w14:textId="77777777" w:rsidTr="00027250">
        <w:tc>
          <w:tcPr>
            <w:tcW w:w="2520" w:type="dxa"/>
            <w:gridSpan w:val="2"/>
          </w:tcPr>
          <w:p w14:paraId="15FB9232"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08" w:type="dxa"/>
          </w:tcPr>
          <w:p w14:paraId="6F244BE6" w14:textId="099CF278" w:rsidR="00430F61" w:rsidRPr="00252268" w:rsidRDefault="00E828D7"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30 de abril del 2020</w:t>
            </w:r>
          </w:p>
        </w:tc>
      </w:tr>
      <w:tr w:rsidR="00430F61" w:rsidRPr="00252268" w14:paraId="2404F48E" w14:textId="77777777" w:rsidTr="00027250">
        <w:tc>
          <w:tcPr>
            <w:tcW w:w="2520" w:type="dxa"/>
            <w:gridSpan w:val="2"/>
            <w:shd w:val="clear" w:color="auto" w:fill="D9D9D9"/>
          </w:tcPr>
          <w:p w14:paraId="065B36FE"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08" w:type="dxa"/>
            <w:shd w:val="clear" w:color="auto" w:fill="D9D9D9"/>
          </w:tcPr>
          <w:p w14:paraId="745961AC" w14:textId="1D350D94" w:rsidR="00430F61" w:rsidRPr="00252268" w:rsidRDefault="00E828D7"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Trabajo-Convención colectiva</w:t>
            </w:r>
          </w:p>
        </w:tc>
      </w:tr>
      <w:tr w:rsidR="00430F61" w:rsidRPr="00252268" w14:paraId="1346EEF9" w14:textId="77777777" w:rsidTr="00027250">
        <w:tc>
          <w:tcPr>
            <w:tcW w:w="2520" w:type="dxa"/>
            <w:gridSpan w:val="2"/>
          </w:tcPr>
          <w:p w14:paraId="6D26A2CE"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08" w:type="dxa"/>
          </w:tcPr>
          <w:p w14:paraId="7E40B404" w14:textId="2DD8F241" w:rsidR="00430F61" w:rsidRPr="00252268" w:rsidRDefault="00E828D7"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Acción de inconstitucionalidad</w:t>
            </w:r>
          </w:p>
        </w:tc>
      </w:tr>
      <w:tr w:rsidR="00430F61" w:rsidRPr="00252268" w14:paraId="060C7209" w14:textId="77777777" w:rsidTr="00027250">
        <w:tc>
          <w:tcPr>
            <w:tcW w:w="2520" w:type="dxa"/>
            <w:gridSpan w:val="2"/>
          </w:tcPr>
          <w:p w14:paraId="234A8121"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08" w:type="dxa"/>
          </w:tcPr>
          <w:p w14:paraId="1C7134F8" w14:textId="77777777" w:rsidR="006A58CD" w:rsidRPr="00252268" w:rsidRDefault="006A58CD" w:rsidP="00252268">
            <w:pPr>
              <w:jc w:val="both"/>
              <w:rPr>
                <w:rFonts w:ascii="Times New Roman" w:hAnsi="Times New Roman" w:cs="Times New Roman"/>
                <w:sz w:val="24"/>
                <w:szCs w:val="24"/>
              </w:rPr>
            </w:pPr>
            <w:r w:rsidRPr="00252268">
              <w:rPr>
                <w:rFonts w:ascii="Times New Roman" w:hAnsi="Times New Roman" w:cs="Times New Roman"/>
                <w:sz w:val="24"/>
                <w:szCs w:val="24"/>
              </w:rPr>
              <w:t>Norma impugnada: Transitorio I y los artículos 16, 26, 30, 49, 175, 213, 214, 215 y 219 de la Convención Colectiva de Trabajo del Instituto Nacional de Seguros (INS)</w:t>
            </w:r>
          </w:p>
          <w:p w14:paraId="3FF9E7E6" w14:textId="0049D8CA" w:rsidR="00E828D7" w:rsidRPr="00252268" w:rsidRDefault="00713C6E" w:rsidP="00252268">
            <w:pPr>
              <w:jc w:val="both"/>
              <w:rPr>
                <w:rFonts w:ascii="Times New Roman" w:hAnsi="Times New Roman" w:cs="Times New Roman"/>
                <w:sz w:val="24"/>
                <w:szCs w:val="24"/>
              </w:rPr>
            </w:pPr>
            <w:r w:rsidRPr="00252268">
              <w:rPr>
                <w:rFonts w:ascii="Times New Roman" w:hAnsi="Times New Roman" w:cs="Times New Roman"/>
                <w:sz w:val="24"/>
                <w:szCs w:val="24"/>
              </w:rPr>
              <w:t xml:space="preserve">Por tanto: </w:t>
            </w:r>
            <w:r w:rsidR="00E828D7" w:rsidRPr="00252268">
              <w:rPr>
                <w:rFonts w:ascii="Times New Roman" w:hAnsi="Times New Roman" w:cs="Times New Roman"/>
                <w:sz w:val="24"/>
                <w:szCs w:val="24"/>
              </w:rPr>
              <w:t>Se declara PARCIALMENTE CON LUGAR la acción de inconstitucionalidad en los siguientes términos:</w:t>
            </w:r>
          </w:p>
          <w:p w14:paraId="714226F6"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b/>
                <w:bCs/>
                <w:sz w:val="24"/>
                <w:szCs w:val="24"/>
              </w:rPr>
              <w:t>Primero:</w:t>
            </w:r>
            <w:r w:rsidRPr="00252268">
              <w:rPr>
                <w:rFonts w:ascii="Times New Roman" w:hAnsi="Times New Roman" w:cs="Times New Roman"/>
                <w:sz w:val="24"/>
                <w:szCs w:val="24"/>
              </w:rPr>
              <w:t xml:space="preserve"> En relación con el Transitorio I del artículo 55 inciso c), se declara con lugar respecto del otorgamiento del 7% del salario base, después del primer quinquenio, y hasta los 10 años de servicio. Respecto de los demás porcentajes establecidos en el inciso c) se declara sin lugar, pero esta Sala declara constitucionales estos porcentajes siempre y cuando se otorguen condicionados a la aprobación de la evaluación del desempeño. El Magistrado Rueda Leal salva el voto y declara inconstitucional el inciso c) del transitorio I.</w:t>
            </w:r>
          </w:p>
          <w:p w14:paraId="11DDA55B"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b/>
                <w:bCs/>
                <w:sz w:val="24"/>
                <w:szCs w:val="24"/>
              </w:rPr>
              <w:t>Segundo:</w:t>
            </w:r>
            <w:r w:rsidRPr="00252268">
              <w:rPr>
                <w:rFonts w:ascii="Times New Roman" w:hAnsi="Times New Roman" w:cs="Times New Roman"/>
                <w:sz w:val="24"/>
                <w:szCs w:val="24"/>
              </w:rPr>
              <w:t xml:space="preserve"> En relación con el artículo 26 se dispone lo siguiente:</w:t>
            </w:r>
          </w:p>
          <w:p w14:paraId="7F1D3C71"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sz w:val="24"/>
                <w:szCs w:val="24"/>
              </w:rPr>
              <w:t>Por unanimidad se declara sin lugar respecto de los incisos a), g), i).</w:t>
            </w:r>
          </w:p>
          <w:p w14:paraId="1FA4B795"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sz w:val="24"/>
                <w:szCs w:val="24"/>
              </w:rPr>
              <w:t>Por unanimidad se declara sin lugar respecto del inciso b). El Magistrado Rueda Leal y la Magistrada Garro Vargas declaran que no es inconstitucional el otorgamiento de la licencia con goce de salario por el fallecimiento de la compañera o del compañero, siempre que se interprete, en atención al principio constitucional de seguridad jurídica, que la relación respeta los requerimientos fijados en el artículo 242 del Código de Familia.</w:t>
            </w:r>
          </w:p>
          <w:p w14:paraId="0D23A4C6"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sz w:val="24"/>
                <w:szCs w:val="24"/>
              </w:rPr>
              <w:t>Por unanimidad se declara sin lugar respecto del inciso c). El Magistrado Rueda Leal y la Magistrada Garro Vargas declaran que no es inconstitucional el otorgamiento de la licencia con goce de salario en caso de enfermedad grave de la compañera o del compañero, siempre que se interprete, en atención al principio constitucional de seguridad jurídica, que la relación respeta los requerimientos fijados en el artículo 242 del Código de Familia.</w:t>
            </w:r>
          </w:p>
          <w:p w14:paraId="2B750B02"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sz w:val="24"/>
                <w:szCs w:val="24"/>
              </w:rPr>
              <w:t>El Magistrado Rueda Leal pone nota.</w:t>
            </w:r>
          </w:p>
          <w:p w14:paraId="443425B7"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b/>
                <w:bCs/>
                <w:sz w:val="24"/>
                <w:szCs w:val="24"/>
              </w:rPr>
              <w:t>Tercero:</w:t>
            </w:r>
            <w:r w:rsidRPr="00252268">
              <w:rPr>
                <w:rFonts w:ascii="Times New Roman" w:hAnsi="Times New Roman" w:cs="Times New Roman"/>
                <w:sz w:val="24"/>
                <w:szCs w:val="24"/>
              </w:rPr>
              <w:t xml:space="preserve"> Por unanimidad se declara con lugar respecto del artículo 30.</w:t>
            </w:r>
          </w:p>
          <w:p w14:paraId="1F97BD17"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b/>
                <w:bCs/>
                <w:sz w:val="24"/>
                <w:szCs w:val="24"/>
              </w:rPr>
              <w:t>Cuarto:</w:t>
            </w:r>
            <w:r w:rsidRPr="00252268">
              <w:rPr>
                <w:rFonts w:ascii="Times New Roman" w:hAnsi="Times New Roman" w:cs="Times New Roman"/>
                <w:sz w:val="24"/>
                <w:szCs w:val="24"/>
              </w:rPr>
              <w:t xml:space="preserve"> Por unanimidad se declara parcialmente con lugar respecto del artículo 141: Del párrafo primero, se declara con lugar respecto de la ayuda económica en caso de "defunción (...) </w:t>
            </w:r>
            <w:r w:rsidRPr="00252268">
              <w:rPr>
                <w:rFonts w:ascii="Times New Roman" w:hAnsi="Times New Roman" w:cs="Times New Roman"/>
                <w:sz w:val="24"/>
                <w:szCs w:val="24"/>
              </w:rPr>
              <w:lastRenderedPageBreak/>
              <w:t>de su cónyuge, de su compañero o compañera en ausencia de aquél o hijos". Se declara con lugar respecto del párrafo segundo. Se declara sin lugar respecto del otorgamiento de la ayuda económica en caso del fallecimiento del trabajador.</w:t>
            </w:r>
          </w:p>
          <w:p w14:paraId="1B3DEC81"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sz w:val="24"/>
                <w:szCs w:val="24"/>
              </w:rPr>
              <w:t>Quinto: Por unanimidad se declara sin lugar respecto del artículo 175.</w:t>
            </w:r>
          </w:p>
          <w:p w14:paraId="31A6DFD7"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b/>
                <w:bCs/>
                <w:sz w:val="24"/>
                <w:szCs w:val="24"/>
              </w:rPr>
              <w:t>Sexto</w:t>
            </w:r>
            <w:r w:rsidRPr="00252268">
              <w:rPr>
                <w:rFonts w:ascii="Times New Roman" w:hAnsi="Times New Roman" w:cs="Times New Roman"/>
                <w:sz w:val="24"/>
                <w:szCs w:val="24"/>
              </w:rPr>
              <w:t>: Por unanimidad se declara sin lugar respecto de los artículos 213, 214 y 215.</w:t>
            </w:r>
          </w:p>
          <w:p w14:paraId="69E5FFD0"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sz w:val="24"/>
                <w:szCs w:val="24"/>
              </w:rPr>
              <w:t>Séptimo: Por unanimidad se declara con lugar respecto del artículo 219.</w:t>
            </w:r>
          </w:p>
          <w:p w14:paraId="3793BE0E" w14:textId="77777777" w:rsidR="00E828D7" w:rsidRPr="00252268" w:rsidRDefault="00E828D7" w:rsidP="00252268">
            <w:pPr>
              <w:jc w:val="both"/>
              <w:rPr>
                <w:rFonts w:ascii="Times New Roman" w:hAnsi="Times New Roman" w:cs="Times New Roman"/>
                <w:sz w:val="24"/>
                <w:szCs w:val="24"/>
              </w:rPr>
            </w:pPr>
            <w:r w:rsidRPr="00252268">
              <w:rPr>
                <w:rFonts w:ascii="Times New Roman" w:hAnsi="Times New Roman" w:cs="Times New Roman"/>
                <w:sz w:val="24"/>
                <w:szCs w:val="24"/>
              </w:rPr>
              <w:t>La Magistrada Garro Vargas consigna nota.</w:t>
            </w:r>
          </w:p>
          <w:p w14:paraId="7C488B14" w14:textId="39EF03B7" w:rsidR="00430F61" w:rsidRPr="00252268" w:rsidRDefault="00E828D7" w:rsidP="00252268">
            <w:pPr>
              <w:jc w:val="both"/>
              <w:rPr>
                <w:rFonts w:ascii="Times New Roman" w:eastAsia="Calibri" w:hAnsi="Times New Roman" w:cs="Times New Roman"/>
                <w:sz w:val="24"/>
                <w:szCs w:val="24"/>
              </w:rPr>
            </w:pPr>
            <w:r w:rsidRPr="00252268">
              <w:rPr>
                <w:rFonts w:ascii="Times New Roman" w:hAnsi="Times New Roman" w:cs="Times New Roman"/>
                <w:sz w:val="24"/>
                <w:szCs w:val="24"/>
              </w:rPr>
              <w:t>Esta sentencia tiene efectos declarativos y retroactivos a la fecha de vigencia de las normas anuladas, sin perjuicio de derechos adquiridos de buena fe. Sin embargo, de conformidad con lo dispuesto por el artículo 91 de la Ley de la Jurisdicción Constitucional, se dimensionan los efectos en el sentido de que la inconstitucionalidad declarada no afecta los derechos adquiridos y situaciones jurídicas consolidadas. Notifíquese este pronunciamiento a las partes apersonadas y la Procuraduría General de la República. Comuníquese esta sentencia a la Dirección de Asuntos Laborales del Ministerio de Trabajo. Reséñese este pronunciamiento en el Diario Oficial La Gaceta y publíquese íntegramente en el Boletín Judicial.</w:t>
            </w:r>
          </w:p>
        </w:tc>
      </w:tr>
      <w:tr w:rsidR="00430F61" w:rsidRPr="00252268" w14:paraId="5EEBDC2C" w14:textId="77777777" w:rsidTr="00027250">
        <w:tc>
          <w:tcPr>
            <w:tcW w:w="2520" w:type="dxa"/>
            <w:gridSpan w:val="2"/>
            <w:shd w:val="clear" w:color="auto" w:fill="8DB3E2"/>
          </w:tcPr>
          <w:p w14:paraId="267F68CF"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lastRenderedPageBreak/>
              <w:t>Link a resolución:</w:t>
            </w:r>
          </w:p>
        </w:tc>
        <w:tc>
          <w:tcPr>
            <w:tcW w:w="6308" w:type="dxa"/>
            <w:shd w:val="clear" w:color="auto" w:fill="8DB3E2"/>
          </w:tcPr>
          <w:p w14:paraId="00E4A71E" w14:textId="5DDFAA97" w:rsidR="00430F61" w:rsidRPr="00252268" w:rsidRDefault="00E828D7" w:rsidP="00252268">
            <w:pPr>
              <w:jc w:val="both"/>
              <w:rPr>
                <w:rFonts w:ascii="Times New Roman" w:eastAsia="Calibri" w:hAnsi="Times New Roman" w:cs="Times New Roman"/>
                <w:bCs/>
                <w:sz w:val="24"/>
                <w:szCs w:val="24"/>
                <w:lang w:eastAsia="es-CR"/>
              </w:rPr>
            </w:pPr>
            <w:r w:rsidRPr="00252268">
              <w:rPr>
                <w:rFonts w:ascii="Times New Roman" w:eastAsia="Calibri" w:hAnsi="Times New Roman" w:cs="Times New Roman"/>
                <w:bCs/>
                <w:sz w:val="24"/>
                <w:szCs w:val="24"/>
                <w:lang w:eastAsia="es-CR"/>
              </w:rPr>
              <w:t>Aún no disponible</w:t>
            </w:r>
          </w:p>
        </w:tc>
      </w:tr>
      <w:tr w:rsidR="00430F61" w:rsidRPr="00252268" w14:paraId="38CE5772" w14:textId="77777777" w:rsidTr="00027250">
        <w:tc>
          <w:tcPr>
            <w:tcW w:w="2520" w:type="dxa"/>
            <w:gridSpan w:val="2"/>
            <w:shd w:val="clear" w:color="auto" w:fill="DBE5F1"/>
          </w:tcPr>
          <w:p w14:paraId="196A7F9F"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Número de sentencia:</w:t>
            </w:r>
          </w:p>
        </w:tc>
        <w:tc>
          <w:tcPr>
            <w:tcW w:w="6308" w:type="dxa"/>
            <w:shd w:val="clear" w:color="auto" w:fill="DBE5F1"/>
          </w:tcPr>
          <w:p w14:paraId="25AEAA77" w14:textId="67BDECB4" w:rsidR="00430F61" w:rsidRPr="00252268" w:rsidRDefault="00185C2C" w:rsidP="00252268">
            <w:pPr>
              <w:spacing w:after="100"/>
              <w:jc w:val="both"/>
              <w:rPr>
                <w:rFonts w:ascii="Times New Roman" w:eastAsia="Times New Roman" w:hAnsi="Times New Roman" w:cs="Times New Roman"/>
                <w:bCs/>
                <w:sz w:val="24"/>
                <w:szCs w:val="24"/>
                <w:lang w:eastAsia="es-CR"/>
              </w:rPr>
            </w:pPr>
            <w:r w:rsidRPr="00252268">
              <w:rPr>
                <w:rFonts w:ascii="Times New Roman" w:hAnsi="Times New Roman" w:cs="Times New Roman"/>
                <w:sz w:val="24"/>
                <w:szCs w:val="24"/>
              </w:rPr>
              <w:t>2020-</w:t>
            </w:r>
            <w:r w:rsidRPr="00252268">
              <w:rPr>
                <w:rFonts w:ascii="Times New Roman" w:hAnsi="Times New Roman" w:cs="Times New Roman"/>
                <w:sz w:val="24"/>
                <w:szCs w:val="24"/>
              </w:rPr>
              <w:t>008553</w:t>
            </w:r>
          </w:p>
        </w:tc>
      </w:tr>
      <w:tr w:rsidR="00430F61" w:rsidRPr="00252268" w14:paraId="5C6E5B9B" w14:textId="77777777" w:rsidTr="00027250">
        <w:tc>
          <w:tcPr>
            <w:tcW w:w="2520" w:type="dxa"/>
            <w:gridSpan w:val="2"/>
          </w:tcPr>
          <w:p w14:paraId="5EFD7D70"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08" w:type="dxa"/>
          </w:tcPr>
          <w:p w14:paraId="3DC22766" w14:textId="63BE5B9E" w:rsidR="00430F61" w:rsidRPr="00252268" w:rsidRDefault="00185C2C"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8 de mayo del 2020</w:t>
            </w:r>
          </w:p>
        </w:tc>
      </w:tr>
      <w:tr w:rsidR="00430F61" w:rsidRPr="00252268" w14:paraId="1C7BFE2E" w14:textId="77777777" w:rsidTr="00027250">
        <w:tc>
          <w:tcPr>
            <w:tcW w:w="2520" w:type="dxa"/>
            <w:gridSpan w:val="2"/>
            <w:shd w:val="clear" w:color="auto" w:fill="D9D9D9"/>
          </w:tcPr>
          <w:p w14:paraId="10BD2433"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08" w:type="dxa"/>
            <w:shd w:val="clear" w:color="auto" w:fill="D9D9D9"/>
          </w:tcPr>
          <w:p w14:paraId="432278AB" w14:textId="35004D56" w:rsidR="00430F61" w:rsidRPr="00252268" w:rsidRDefault="00185C2C"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Trabajo</w:t>
            </w:r>
          </w:p>
        </w:tc>
      </w:tr>
      <w:tr w:rsidR="00430F61" w:rsidRPr="00252268" w14:paraId="41B10FE0" w14:textId="77777777" w:rsidTr="00027250">
        <w:tc>
          <w:tcPr>
            <w:tcW w:w="2520" w:type="dxa"/>
            <w:gridSpan w:val="2"/>
          </w:tcPr>
          <w:p w14:paraId="5BD2FE2E"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08" w:type="dxa"/>
          </w:tcPr>
          <w:p w14:paraId="486E11E3" w14:textId="2159952B" w:rsidR="00430F61" w:rsidRPr="00252268" w:rsidRDefault="00185C2C"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Recurso de amparo</w:t>
            </w:r>
          </w:p>
        </w:tc>
      </w:tr>
      <w:tr w:rsidR="00430F61" w:rsidRPr="00252268" w14:paraId="31F0807E" w14:textId="77777777" w:rsidTr="00027250">
        <w:tc>
          <w:tcPr>
            <w:tcW w:w="2520" w:type="dxa"/>
            <w:gridSpan w:val="2"/>
          </w:tcPr>
          <w:p w14:paraId="40BAD91F"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08" w:type="dxa"/>
          </w:tcPr>
          <w:p w14:paraId="5B283E72" w14:textId="5CEE65D8" w:rsidR="00430F61" w:rsidRPr="00252268" w:rsidRDefault="00185C2C" w:rsidP="00252268">
            <w:pPr>
              <w:jc w:val="both"/>
              <w:rPr>
                <w:rFonts w:ascii="Times New Roman" w:eastAsia="Calibri" w:hAnsi="Times New Roman" w:cs="Times New Roman"/>
                <w:sz w:val="24"/>
                <w:szCs w:val="24"/>
              </w:rPr>
            </w:pPr>
            <w:r w:rsidRPr="00252268">
              <w:rPr>
                <w:rFonts w:ascii="Times New Roman" w:eastAsia="Calibri" w:hAnsi="Times New Roman" w:cs="Times New Roman"/>
                <w:sz w:val="24"/>
                <w:szCs w:val="24"/>
              </w:rPr>
              <w:t xml:space="preserve">Traslado en acatamiento a medida cautelar ordenada por el órgano del procedimiento por hostigamiento laboral no constituye un caso de ius variandi abusivo. </w:t>
            </w:r>
          </w:p>
        </w:tc>
      </w:tr>
      <w:tr w:rsidR="00430F61" w:rsidRPr="00252268" w14:paraId="4AC44C5C" w14:textId="77777777" w:rsidTr="00027250">
        <w:tc>
          <w:tcPr>
            <w:tcW w:w="2520" w:type="dxa"/>
            <w:gridSpan w:val="2"/>
            <w:shd w:val="clear" w:color="auto" w:fill="8DB3E2"/>
          </w:tcPr>
          <w:p w14:paraId="727E3CE2"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Link a resolución:</w:t>
            </w:r>
          </w:p>
        </w:tc>
        <w:tc>
          <w:tcPr>
            <w:tcW w:w="6308" w:type="dxa"/>
            <w:shd w:val="clear" w:color="auto" w:fill="8DB3E2"/>
          </w:tcPr>
          <w:p w14:paraId="6FF2A582" w14:textId="67730806" w:rsidR="00430F61" w:rsidRPr="00252268" w:rsidRDefault="00185C2C" w:rsidP="00252268">
            <w:pPr>
              <w:jc w:val="both"/>
              <w:rPr>
                <w:rFonts w:ascii="Times New Roman" w:eastAsia="Calibri" w:hAnsi="Times New Roman" w:cs="Times New Roman"/>
                <w:bCs/>
                <w:sz w:val="24"/>
                <w:szCs w:val="24"/>
                <w:lang w:eastAsia="es-CR"/>
              </w:rPr>
            </w:pPr>
            <w:hyperlink r:id="rId12" w:history="1">
              <w:r w:rsidRPr="00252268">
                <w:rPr>
                  <w:rStyle w:val="Hipervnculo"/>
                  <w:rFonts w:ascii="Times New Roman" w:eastAsia="Calibri" w:hAnsi="Times New Roman" w:cs="Times New Roman"/>
                  <w:sz w:val="24"/>
                  <w:szCs w:val="24"/>
                </w:rPr>
                <w:t>https://nexuspj.poder-judicial.go.cr/document/sen-1-0007-973657</w:t>
              </w:r>
            </w:hyperlink>
          </w:p>
        </w:tc>
      </w:tr>
      <w:tr w:rsidR="00430F61" w:rsidRPr="00252268" w14:paraId="32139CDB" w14:textId="77777777" w:rsidTr="00027250">
        <w:tc>
          <w:tcPr>
            <w:tcW w:w="2520" w:type="dxa"/>
            <w:gridSpan w:val="2"/>
            <w:shd w:val="clear" w:color="auto" w:fill="DBE5F1"/>
          </w:tcPr>
          <w:p w14:paraId="67B2410F"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Número de sentencia:</w:t>
            </w:r>
          </w:p>
        </w:tc>
        <w:tc>
          <w:tcPr>
            <w:tcW w:w="6308" w:type="dxa"/>
            <w:shd w:val="clear" w:color="auto" w:fill="DBE5F1"/>
          </w:tcPr>
          <w:p w14:paraId="3C76BBE9" w14:textId="12ABCF4C" w:rsidR="00430F61" w:rsidRPr="00252268" w:rsidRDefault="00185C2C"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2020-008480</w:t>
            </w:r>
          </w:p>
        </w:tc>
      </w:tr>
      <w:tr w:rsidR="00430F61" w:rsidRPr="00252268" w14:paraId="0FF5FFCA" w14:textId="77777777" w:rsidTr="00027250">
        <w:tc>
          <w:tcPr>
            <w:tcW w:w="2520" w:type="dxa"/>
            <w:gridSpan w:val="2"/>
          </w:tcPr>
          <w:p w14:paraId="357554C7"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08" w:type="dxa"/>
          </w:tcPr>
          <w:p w14:paraId="71421A40" w14:textId="2E37A191" w:rsidR="00430F61" w:rsidRPr="00252268" w:rsidRDefault="00185C2C"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8 de mayo del 2020</w:t>
            </w:r>
          </w:p>
        </w:tc>
      </w:tr>
      <w:tr w:rsidR="00430F61" w:rsidRPr="00252268" w14:paraId="4B1274A4" w14:textId="77777777" w:rsidTr="00027250">
        <w:tc>
          <w:tcPr>
            <w:tcW w:w="2520" w:type="dxa"/>
            <w:gridSpan w:val="2"/>
            <w:shd w:val="clear" w:color="auto" w:fill="D9D9D9"/>
          </w:tcPr>
          <w:p w14:paraId="6B62A9A5"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08" w:type="dxa"/>
            <w:shd w:val="clear" w:color="auto" w:fill="D9D9D9"/>
          </w:tcPr>
          <w:p w14:paraId="431300CC" w14:textId="6DA8913E" w:rsidR="00430F61" w:rsidRPr="00252268" w:rsidRDefault="00185C2C"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Petición</w:t>
            </w:r>
          </w:p>
        </w:tc>
      </w:tr>
      <w:tr w:rsidR="00430F61" w:rsidRPr="00252268" w14:paraId="0DBC86DF" w14:textId="77777777" w:rsidTr="00027250">
        <w:tc>
          <w:tcPr>
            <w:tcW w:w="2520" w:type="dxa"/>
            <w:gridSpan w:val="2"/>
          </w:tcPr>
          <w:p w14:paraId="1E118BF3"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08" w:type="dxa"/>
          </w:tcPr>
          <w:p w14:paraId="2232B0FC" w14:textId="2D371BF0" w:rsidR="00430F61" w:rsidRPr="00252268" w:rsidRDefault="00185C2C"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Recurso de amparo</w:t>
            </w:r>
          </w:p>
        </w:tc>
      </w:tr>
      <w:tr w:rsidR="00430F61" w:rsidRPr="00252268" w14:paraId="76FB14E4" w14:textId="77777777" w:rsidTr="00027250">
        <w:tc>
          <w:tcPr>
            <w:tcW w:w="2520" w:type="dxa"/>
            <w:gridSpan w:val="2"/>
          </w:tcPr>
          <w:p w14:paraId="148ECBE4"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08" w:type="dxa"/>
          </w:tcPr>
          <w:p w14:paraId="4530AA1E" w14:textId="1C137767" w:rsidR="00430F61" w:rsidRPr="00252268" w:rsidRDefault="00185C2C" w:rsidP="00252268">
            <w:pPr>
              <w:jc w:val="both"/>
              <w:rPr>
                <w:rFonts w:ascii="Times New Roman" w:eastAsia="Calibri" w:hAnsi="Times New Roman" w:cs="Times New Roman"/>
                <w:sz w:val="24"/>
                <w:szCs w:val="24"/>
              </w:rPr>
            </w:pPr>
            <w:r w:rsidRPr="00252268">
              <w:rPr>
                <w:rFonts w:ascii="Times New Roman" w:eastAsia="Times New Roman" w:hAnsi="Times New Roman" w:cs="Times New Roman"/>
                <w:color w:val="000000"/>
                <w:sz w:val="24"/>
                <w:szCs w:val="24"/>
                <w:lang w:eastAsia="es-CR"/>
              </w:rPr>
              <w:t>Se reitera que, la negativa a las gestiones de solicitud de citas a las autoridades no constituye una violación a los artículos 27 y 41 de la constitución política</w:t>
            </w:r>
          </w:p>
        </w:tc>
      </w:tr>
      <w:tr w:rsidR="00430F61" w:rsidRPr="00252268" w14:paraId="3A7EF97A" w14:textId="77777777" w:rsidTr="00027250">
        <w:tc>
          <w:tcPr>
            <w:tcW w:w="2520" w:type="dxa"/>
            <w:gridSpan w:val="2"/>
            <w:shd w:val="clear" w:color="auto" w:fill="8DB3E2"/>
          </w:tcPr>
          <w:p w14:paraId="195D606C"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Link a resolución:</w:t>
            </w:r>
          </w:p>
        </w:tc>
        <w:tc>
          <w:tcPr>
            <w:tcW w:w="6308" w:type="dxa"/>
            <w:shd w:val="clear" w:color="auto" w:fill="8DB3E2"/>
          </w:tcPr>
          <w:p w14:paraId="2E48D0CC" w14:textId="604C8975" w:rsidR="00430F61" w:rsidRPr="00252268" w:rsidRDefault="00185C2C" w:rsidP="00252268">
            <w:pPr>
              <w:jc w:val="both"/>
              <w:rPr>
                <w:rFonts w:ascii="Times New Roman" w:eastAsia="Calibri" w:hAnsi="Times New Roman" w:cs="Times New Roman"/>
                <w:bCs/>
                <w:sz w:val="24"/>
                <w:szCs w:val="24"/>
                <w:lang w:eastAsia="es-CR"/>
              </w:rPr>
            </w:pPr>
            <w:hyperlink r:id="rId13" w:history="1">
              <w:r w:rsidRPr="00252268">
                <w:rPr>
                  <w:rStyle w:val="Hipervnculo"/>
                  <w:rFonts w:ascii="Times New Roman" w:eastAsia="Times New Roman" w:hAnsi="Times New Roman" w:cs="Times New Roman"/>
                  <w:b/>
                  <w:bCs/>
                  <w:sz w:val="24"/>
                  <w:szCs w:val="24"/>
                  <w:lang w:eastAsia="es-CR"/>
                </w:rPr>
                <w:t>https://nexuspj.poder-judicial.go.cr/document/sen-1-0007-973772</w:t>
              </w:r>
            </w:hyperlink>
            <w:r w:rsidRPr="00252268">
              <w:rPr>
                <w:rFonts w:ascii="Times New Roman" w:eastAsia="Times New Roman" w:hAnsi="Times New Roman" w:cs="Times New Roman"/>
                <w:b/>
                <w:bCs/>
                <w:color w:val="000000"/>
                <w:sz w:val="24"/>
                <w:szCs w:val="24"/>
                <w:lang w:eastAsia="es-CR"/>
              </w:rPr>
              <w:t xml:space="preserve">  </w:t>
            </w:r>
          </w:p>
        </w:tc>
      </w:tr>
      <w:tr w:rsidR="00430F61" w:rsidRPr="00252268" w14:paraId="4FF0A8A7" w14:textId="77777777" w:rsidTr="00027250">
        <w:tc>
          <w:tcPr>
            <w:tcW w:w="2520" w:type="dxa"/>
            <w:gridSpan w:val="2"/>
            <w:shd w:val="clear" w:color="auto" w:fill="DBE5F1"/>
          </w:tcPr>
          <w:p w14:paraId="34358F38"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lastRenderedPageBreak/>
              <w:t>Número de sentencia:</w:t>
            </w:r>
          </w:p>
        </w:tc>
        <w:tc>
          <w:tcPr>
            <w:tcW w:w="6308" w:type="dxa"/>
            <w:shd w:val="clear" w:color="auto" w:fill="DBE5F1"/>
          </w:tcPr>
          <w:p w14:paraId="05C41F47" w14:textId="14B0A03E" w:rsidR="00430F61" w:rsidRPr="00252268" w:rsidRDefault="00F2697B"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2020-</w:t>
            </w:r>
            <w:r w:rsidRPr="00252268">
              <w:rPr>
                <w:rFonts w:ascii="Times New Roman" w:eastAsia="Times New Roman" w:hAnsi="Times New Roman" w:cs="Times New Roman"/>
                <w:bCs/>
                <w:sz w:val="24"/>
                <w:szCs w:val="24"/>
                <w:lang w:eastAsia="es-CR"/>
              </w:rPr>
              <w:t>09029</w:t>
            </w:r>
          </w:p>
        </w:tc>
      </w:tr>
      <w:tr w:rsidR="00430F61" w:rsidRPr="00252268" w14:paraId="3A814DE1" w14:textId="77777777" w:rsidTr="00027250">
        <w:tc>
          <w:tcPr>
            <w:tcW w:w="2520" w:type="dxa"/>
            <w:gridSpan w:val="2"/>
          </w:tcPr>
          <w:p w14:paraId="5E8301E8"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08" w:type="dxa"/>
          </w:tcPr>
          <w:p w14:paraId="62ED090E" w14:textId="1656ECC1" w:rsidR="00430F61" w:rsidRPr="00252268" w:rsidRDefault="00F2697B"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15 de mayo del 2020</w:t>
            </w:r>
          </w:p>
        </w:tc>
      </w:tr>
      <w:tr w:rsidR="00430F61" w:rsidRPr="00252268" w14:paraId="691346A3" w14:textId="77777777" w:rsidTr="00027250">
        <w:tc>
          <w:tcPr>
            <w:tcW w:w="2520" w:type="dxa"/>
            <w:gridSpan w:val="2"/>
            <w:shd w:val="clear" w:color="auto" w:fill="D9D9D9"/>
          </w:tcPr>
          <w:p w14:paraId="0D958AE1"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08" w:type="dxa"/>
            <w:shd w:val="clear" w:color="auto" w:fill="D9D9D9"/>
          </w:tcPr>
          <w:p w14:paraId="3CFDA0EC" w14:textId="5BFCDF44" w:rsidR="00430F61" w:rsidRPr="00252268" w:rsidRDefault="00F2697B"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Penal</w:t>
            </w:r>
          </w:p>
        </w:tc>
      </w:tr>
      <w:tr w:rsidR="00430F61" w:rsidRPr="00252268" w14:paraId="28C2FBA6" w14:textId="77777777" w:rsidTr="00027250">
        <w:tc>
          <w:tcPr>
            <w:tcW w:w="2520" w:type="dxa"/>
            <w:gridSpan w:val="2"/>
          </w:tcPr>
          <w:p w14:paraId="2389D14E"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08" w:type="dxa"/>
            <w:shd w:val="clear" w:color="auto" w:fill="FFFFFF"/>
          </w:tcPr>
          <w:p w14:paraId="792F5B00" w14:textId="7E34A4F7" w:rsidR="00430F61" w:rsidRPr="00252268" w:rsidRDefault="00F2697B"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Habeas corpus</w:t>
            </w:r>
          </w:p>
        </w:tc>
      </w:tr>
      <w:tr w:rsidR="00430F61" w:rsidRPr="00252268" w14:paraId="7D783679" w14:textId="77777777" w:rsidTr="00027250">
        <w:tc>
          <w:tcPr>
            <w:tcW w:w="2520" w:type="dxa"/>
            <w:gridSpan w:val="2"/>
          </w:tcPr>
          <w:p w14:paraId="5B3CD177"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08" w:type="dxa"/>
          </w:tcPr>
          <w:p w14:paraId="473CAAFB" w14:textId="47DF3C87" w:rsidR="00430F61" w:rsidRPr="00252268" w:rsidRDefault="00F2697B" w:rsidP="00252268">
            <w:pPr>
              <w:jc w:val="both"/>
              <w:rPr>
                <w:rFonts w:ascii="Times New Roman" w:eastAsia="Calibri" w:hAnsi="Times New Roman" w:cs="Times New Roman"/>
                <w:sz w:val="24"/>
                <w:szCs w:val="24"/>
              </w:rPr>
            </w:pPr>
            <w:r w:rsidRPr="00252268">
              <w:rPr>
                <w:rFonts w:ascii="Times New Roman" w:hAnsi="Times New Roman" w:cs="Times New Roman"/>
                <w:sz w:val="24"/>
                <w:szCs w:val="24"/>
              </w:rPr>
              <w:t>E</w:t>
            </w:r>
            <w:r w:rsidRPr="00252268">
              <w:rPr>
                <w:rFonts w:ascii="Times New Roman" w:hAnsi="Times New Roman" w:cs="Times New Roman"/>
                <w:sz w:val="24"/>
                <w:szCs w:val="24"/>
              </w:rPr>
              <w:t xml:space="preserve">l uso del sistema de videoconferencia en las audiencias orales en sede penal, per se, debe ser de manera excepcional. Sin embargo, el mismo no resulta incompatible con los principios de oralidad, publicidad, contradicción e inmediación, antes bien, dicho medio tecnológico constituye una forma de entrelazar de manera real a los intervinientes en una audiencia judicial, contribuyendo a la celeridad del proceso en determinados casos y otros, constituyéndose una garantía de protección ante los riesgos de seguridad que se puedan presentar. No obstante, lo que es necesario plantearse es el uso de la videoconferencia para la obtención del fin perseguido en cada supuesto, contemplando la relación razonable entre el resultado buscado y las renuncias a las condiciones normales de celebración del acto que resultan necesarias para lograr ese objetivo. En virtud de ello, hay que valorar desde el inicio de cada caso, la gravedad del hecho o de la situación y la justificación para la aplicación de este recurso técnico. Precisamente por ello, su utilización en las audiencias penales, cuando así corresponda, no puede significar la vulneración de garantías básicas del proceso penal, como sucede con el derecho a la defensa, lo cual se presentaría, por ejemplo, si no se permite que el acusado conferencie con su abogado defensor durante el debate. </w:t>
            </w:r>
          </w:p>
        </w:tc>
      </w:tr>
      <w:tr w:rsidR="00430F61" w:rsidRPr="00252268" w14:paraId="0DE261D4" w14:textId="77777777" w:rsidTr="00027250">
        <w:tc>
          <w:tcPr>
            <w:tcW w:w="2520" w:type="dxa"/>
            <w:gridSpan w:val="2"/>
            <w:shd w:val="clear" w:color="auto" w:fill="8DB3E2"/>
          </w:tcPr>
          <w:p w14:paraId="07CEB141"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Link a resolución:</w:t>
            </w:r>
          </w:p>
        </w:tc>
        <w:tc>
          <w:tcPr>
            <w:tcW w:w="6308" w:type="dxa"/>
            <w:shd w:val="clear" w:color="auto" w:fill="8DB3E2"/>
          </w:tcPr>
          <w:p w14:paraId="1F72B04E" w14:textId="4D5D173C" w:rsidR="00430F61" w:rsidRPr="00252268" w:rsidRDefault="004D028A" w:rsidP="00252268">
            <w:pPr>
              <w:jc w:val="both"/>
              <w:rPr>
                <w:rFonts w:ascii="Times New Roman" w:eastAsia="Calibri" w:hAnsi="Times New Roman" w:cs="Times New Roman"/>
                <w:bCs/>
                <w:sz w:val="24"/>
                <w:szCs w:val="24"/>
                <w:lang w:eastAsia="es-CR"/>
              </w:rPr>
            </w:pPr>
            <w:hyperlink r:id="rId14" w:history="1">
              <w:r w:rsidRPr="00252268">
                <w:rPr>
                  <w:rStyle w:val="Hipervnculo"/>
                  <w:rFonts w:ascii="Times New Roman" w:eastAsia="Calibri" w:hAnsi="Times New Roman" w:cs="Times New Roman"/>
                  <w:bCs/>
                  <w:sz w:val="24"/>
                  <w:szCs w:val="24"/>
                  <w:lang w:eastAsia="es-CR"/>
                </w:rPr>
                <w:t>https://nexuspj.poder-judicial.go.cr/document/sen-1-0007-974417</w:t>
              </w:r>
            </w:hyperlink>
          </w:p>
        </w:tc>
      </w:tr>
      <w:tr w:rsidR="00430F61" w:rsidRPr="00252268" w14:paraId="2A41F495" w14:textId="77777777" w:rsidTr="00027250">
        <w:tc>
          <w:tcPr>
            <w:tcW w:w="2520" w:type="dxa"/>
            <w:gridSpan w:val="2"/>
            <w:shd w:val="clear" w:color="auto" w:fill="DBE5F1"/>
          </w:tcPr>
          <w:p w14:paraId="40CFAC0D"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Número de sentencia:</w:t>
            </w:r>
          </w:p>
        </w:tc>
        <w:tc>
          <w:tcPr>
            <w:tcW w:w="6308" w:type="dxa"/>
            <w:shd w:val="clear" w:color="auto" w:fill="DBE5F1"/>
          </w:tcPr>
          <w:p w14:paraId="7A0844BD" w14:textId="1069D92C" w:rsidR="00430F61" w:rsidRPr="00252268" w:rsidRDefault="004D028A"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2020-008752</w:t>
            </w:r>
          </w:p>
        </w:tc>
      </w:tr>
      <w:tr w:rsidR="00430F61" w:rsidRPr="00252268" w14:paraId="0C84FE56" w14:textId="77777777" w:rsidTr="00027250">
        <w:tc>
          <w:tcPr>
            <w:tcW w:w="2520" w:type="dxa"/>
            <w:gridSpan w:val="2"/>
          </w:tcPr>
          <w:p w14:paraId="3F50BD96"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Fecha de resolución:</w:t>
            </w:r>
          </w:p>
        </w:tc>
        <w:tc>
          <w:tcPr>
            <w:tcW w:w="6308" w:type="dxa"/>
          </w:tcPr>
          <w:p w14:paraId="17860BF2" w14:textId="5DFE5E37" w:rsidR="00430F61" w:rsidRPr="00252268" w:rsidRDefault="004D028A" w:rsidP="0025226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252268">
              <w:rPr>
                <w:rFonts w:ascii="Times New Roman" w:eastAsia="Times New Roman" w:hAnsi="Times New Roman" w:cs="Times New Roman"/>
                <w:color w:val="000000"/>
                <w:sz w:val="24"/>
                <w:szCs w:val="24"/>
                <w:lang w:eastAsia="es-CR"/>
              </w:rPr>
              <w:t>20 de mayo del 2020</w:t>
            </w:r>
          </w:p>
        </w:tc>
      </w:tr>
      <w:tr w:rsidR="00430F61" w:rsidRPr="00252268" w14:paraId="1749610D" w14:textId="77777777" w:rsidTr="00027250">
        <w:tc>
          <w:tcPr>
            <w:tcW w:w="2520" w:type="dxa"/>
            <w:gridSpan w:val="2"/>
            <w:shd w:val="clear" w:color="auto" w:fill="D9D9D9"/>
          </w:tcPr>
          <w:p w14:paraId="651DDE4A"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Temática:</w:t>
            </w:r>
          </w:p>
        </w:tc>
        <w:tc>
          <w:tcPr>
            <w:tcW w:w="6308" w:type="dxa"/>
            <w:shd w:val="clear" w:color="auto" w:fill="D9D9D9"/>
          </w:tcPr>
          <w:p w14:paraId="45E5ADCD" w14:textId="06A7CA99" w:rsidR="00430F61" w:rsidRPr="00252268" w:rsidRDefault="004D028A"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Ambiente</w:t>
            </w:r>
          </w:p>
        </w:tc>
      </w:tr>
      <w:tr w:rsidR="00430F61" w:rsidRPr="00252268" w14:paraId="158BE863" w14:textId="77777777" w:rsidTr="00027250">
        <w:tc>
          <w:tcPr>
            <w:tcW w:w="2520" w:type="dxa"/>
            <w:gridSpan w:val="2"/>
          </w:tcPr>
          <w:p w14:paraId="751CDF73"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Tipo de asunto:</w:t>
            </w:r>
          </w:p>
        </w:tc>
        <w:tc>
          <w:tcPr>
            <w:tcW w:w="6308" w:type="dxa"/>
          </w:tcPr>
          <w:p w14:paraId="6FB533AA" w14:textId="0A89B358" w:rsidR="00430F61" w:rsidRPr="00252268" w:rsidRDefault="004D028A"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Recurso de amparo</w:t>
            </w:r>
          </w:p>
        </w:tc>
      </w:tr>
      <w:tr w:rsidR="00430F61" w:rsidRPr="00252268" w14:paraId="29EB17CA" w14:textId="77777777" w:rsidTr="00027250">
        <w:tc>
          <w:tcPr>
            <w:tcW w:w="2520" w:type="dxa"/>
            <w:gridSpan w:val="2"/>
          </w:tcPr>
          <w:p w14:paraId="335ED989"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t>Resumen:</w:t>
            </w:r>
          </w:p>
        </w:tc>
        <w:tc>
          <w:tcPr>
            <w:tcW w:w="6308" w:type="dxa"/>
          </w:tcPr>
          <w:p w14:paraId="58CC1FC1" w14:textId="71EB023A" w:rsidR="00430F61" w:rsidRPr="00252268" w:rsidRDefault="004D028A" w:rsidP="00252268">
            <w:pPr>
              <w:jc w:val="both"/>
              <w:rPr>
                <w:rFonts w:ascii="Times New Roman" w:eastAsia="Calibri" w:hAnsi="Times New Roman" w:cs="Times New Roman"/>
                <w:sz w:val="24"/>
                <w:szCs w:val="24"/>
              </w:rPr>
            </w:pPr>
            <w:r w:rsidRPr="00252268">
              <w:rPr>
                <w:rFonts w:ascii="Times New Roman" w:eastAsia="Calibri" w:hAnsi="Times New Roman" w:cs="Times New Roman"/>
                <w:sz w:val="24"/>
                <w:szCs w:val="24"/>
              </w:rPr>
              <w:t xml:space="preserve">Estima la Sala que se hace indispensable adoptar una actitud más proactiva en defensa del recurso hídrico que abastece a la población que presta el servicio la ASADA de Horquetas de Sarapiquí, por lo que se debe estimar este amparo, a fin de ordenar a las autoridades recurridas del SINAC que asuman una actitud más responsable, pero sobre todo con carácter de urgencia, en la adopción de medidas concretas y efectivas que permitan proteger las nacientes denominadas Murillo 1 y 2 y Oropéndolas, a fin de propiciar la eliminación de los focos de contaminación de esos manantiales, así como la restauración, en </w:t>
            </w:r>
            <w:r w:rsidRPr="00252268">
              <w:rPr>
                <w:rFonts w:ascii="Times New Roman" w:eastAsia="Calibri" w:hAnsi="Times New Roman" w:cs="Times New Roman"/>
                <w:sz w:val="24"/>
                <w:szCs w:val="24"/>
              </w:rPr>
              <w:lastRenderedPageBreak/>
              <w:t>la medida de lo posible, del daño provocado. Mientras que respecto a las demás autoridades accionadas</w:t>
            </w:r>
          </w:p>
        </w:tc>
      </w:tr>
      <w:tr w:rsidR="00430F61" w:rsidRPr="00252268" w14:paraId="24E51084" w14:textId="77777777" w:rsidTr="00027250">
        <w:tc>
          <w:tcPr>
            <w:tcW w:w="2520" w:type="dxa"/>
            <w:gridSpan w:val="2"/>
            <w:shd w:val="clear" w:color="auto" w:fill="8DB3E2"/>
          </w:tcPr>
          <w:p w14:paraId="3AFC70B5" w14:textId="77777777" w:rsidR="00430F61" w:rsidRPr="00252268" w:rsidRDefault="00430F61" w:rsidP="00252268">
            <w:pPr>
              <w:spacing w:after="100"/>
              <w:jc w:val="both"/>
              <w:rPr>
                <w:rFonts w:ascii="Times New Roman" w:eastAsia="Times New Roman" w:hAnsi="Times New Roman" w:cs="Times New Roman"/>
                <w:bCs/>
                <w:sz w:val="24"/>
                <w:szCs w:val="24"/>
                <w:lang w:eastAsia="es-CR"/>
              </w:rPr>
            </w:pPr>
            <w:r w:rsidRPr="00252268">
              <w:rPr>
                <w:rFonts w:ascii="Times New Roman" w:eastAsia="Times New Roman" w:hAnsi="Times New Roman" w:cs="Times New Roman"/>
                <w:bCs/>
                <w:sz w:val="24"/>
                <w:szCs w:val="24"/>
                <w:lang w:eastAsia="es-CR"/>
              </w:rPr>
              <w:lastRenderedPageBreak/>
              <w:t>Link a resolución:</w:t>
            </w:r>
          </w:p>
        </w:tc>
        <w:tc>
          <w:tcPr>
            <w:tcW w:w="6308" w:type="dxa"/>
            <w:shd w:val="clear" w:color="auto" w:fill="8DB3E2"/>
          </w:tcPr>
          <w:p w14:paraId="017C9ECF" w14:textId="09E70044" w:rsidR="00430F61" w:rsidRPr="00252268" w:rsidRDefault="004D028A" w:rsidP="00252268">
            <w:pPr>
              <w:jc w:val="both"/>
              <w:rPr>
                <w:rFonts w:ascii="Times New Roman" w:eastAsia="Calibri" w:hAnsi="Times New Roman" w:cs="Times New Roman"/>
                <w:bCs/>
                <w:sz w:val="24"/>
                <w:szCs w:val="24"/>
                <w:lang w:eastAsia="es-CR"/>
              </w:rPr>
            </w:pPr>
            <w:r w:rsidRPr="00252268">
              <w:rPr>
                <w:rFonts w:ascii="Times New Roman" w:eastAsia="Calibri" w:hAnsi="Times New Roman" w:cs="Times New Roman"/>
                <w:bCs/>
                <w:sz w:val="24"/>
                <w:szCs w:val="24"/>
                <w:lang w:eastAsia="es-CR"/>
              </w:rPr>
              <w:t>https://nexuspj.poder-judicial.go.cr/document/sen-1-0007-974299</w:t>
            </w:r>
          </w:p>
        </w:tc>
      </w:tr>
    </w:tbl>
    <w:p w14:paraId="02B75CF8" w14:textId="77777777" w:rsidR="003746D2" w:rsidRPr="00252268" w:rsidRDefault="003746D2" w:rsidP="00252268">
      <w:pPr>
        <w:spacing w:after="200" w:line="276" w:lineRule="auto"/>
        <w:jc w:val="both"/>
        <w:rPr>
          <w:rFonts w:ascii="Times New Roman" w:eastAsia="Calibri" w:hAnsi="Times New Roman" w:cs="Times New Roman"/>
          <w:sz w:val="24"/>
          <w:szCs w:val="24"/>
        </w:rPr>
      </w:pPr>
    </w:p>
    <w:p w14:paraId="713F231A" w14:textId="77777777" w:rsidR="00D467EB" w:rsidRDefault="00D467EB"/>
    <w:sectPr w:rsidR="00D467EB" w:rsidSect="00E165E8">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2D881" w14:textId="77777777" w:rsidR="004666C1" w:rsidRDefault="004666C1" w:rsidP="00252268">
      <w:pPr>
        <w:spacing w:after="0" w:line="240" w:lineRule="auto"/>
      </w:pPr>
      <w:r>
        <w:separator/>
      </w:r>
    </w:p>
  </w:endnote>
  <w:endnote w:type="continuationSeparator" w:id="0">
    <w:p w14:paraId="7B91B3A1" w14:textId="77777777" w:rsidR="004666C1" w:rsidRDefault="004666C1" w:rsidP="0025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D2241" w14:textId="77777777" w:rsidR="004666C1" w:rsidRDefault="004666C1" w:rsidP="00252268">
      <w:pPr>
        <w:spacing w:after="0" w:line="240" w:lineRule="auto"/>
      </w:pPr>
      <w:r>
        <w:separator/>
      </w:r>
    </w:p>
  </w:footnote>
  <w:footnote w:type="continuationSeparator" w:id="0">
    <w:p w14:paraId="3CF111A0" w14:textId="77777777" w:rsidR="004666C1" w:rsidRDefault="004666C1" w:rsidP="0025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020564"/>
      <w:docPartObj>
        <w:docPartGallery w:val="Page Numbers (Top of Page)"/>
        <w:docPartUnique/>
      </w:docPartObj>
    </w:sdtPr>
    <w:sdtContent>
      <w:p w14:paraId="1BA52422" w14:textId="12168D46" w:rsidR="00252268" w:rsidRDefault="00252268">
        <w:pPr>
          <w:pStyle w:val="Encabezado"/>
          <w:jc w:val="right"/>
        </w:pPr>
        <w:r>
          <w:fldChar w:fldCharType="begin"/>
        </w:r>
        <w:r>
          <w:instrText>PAGE   \* MERGEFORMAT</w:instrText>
        </w:r>
        <w:r>
          <w:fldChar w:fldCharType="separate"/>
        </w:r>
        <w:r>
          <w:rPr>
            <w:lang w:val="es-ES"/>
          </w:rPr>
          <w:t>2</w:t>
        </w:r>
        <w:r>
          <w:fldChar w:fldCharType="end"/>
        </w:r>
      </w:p>
    </w:sdtContent>
  </w:sdt>
  <w:p w14:paraId="4E03128A" w14:textId="77777777" w:rsidR="00252268" w:rsidRDefault="002522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D2"/>
    <w:rsid w:val="00027250"/>
    <w:rsid w:val="00185C2C"/>
    <w:rsid w:val="00252268"/>
    <w:rsid w:val="003746D2"/>
    <w:rsid w:val="00430F61"/>
    <w:rsid w:val="004666C1"/>
    <w:rsid w:val="004830B6"/>
    <w:rsid w:val="004D028A"/>
    <w:rsid w:val="006A58CD"/>
    <w:rsid w:val="00713C6E"/>
    <w:rsid w:val="00B716A7"/>
    <w:rsid w:val="00D467EB"/>
    <w:rsid w:val="00E828D7"/>
    <w:rsid w:val="00F2697B"/>
    <w:rsid w:val="00F27C1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F870"/>
  <w15:chartTrackingRefBased/>
  <w15:docId w15:val="{4165C400-7E6D-441C-87D8-6A8AA6BD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3746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74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7250"/>
    <w:rPr>
      <w:color w:val="0563C1" w:themeColor="hyperlink"/>
      <w:u w:val="single"/>
    </w:rPr>
  </w:style>
  <w:style w:type="character" w:styleId="Mencinsinresolver">
    <w:name w:val="Unresolved Mention"/>
    <w:basedOn w:val="Fuentedeprrafopredeter"/>
    <w:uiPriority w:val="99"/>
    <w:semiHidden/>
    <w:unhideWhenUsed/>
    <w:rsid w:val="00027250"/>
    <w:rPr>
      <w:color w:val="605E5C"/>
      <w:shd w:val="clear" w:color="auto" w:fill="E1DFDD"/>
    </w:rPr>
  </w:style>
  <w:style w:type="paragraph" w:styleId="Encabezado">
    <w:name w:val="header"/>
    <w:basedOn w:val="Normal"/>
    <w:link w:val="EncabezadoCar"/>
    <w:uiPriority w:val="99"/>
    <w:unhideWhenUsed/>
    <w:rsid w:val="002522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268"/>
  </w:style>
  <w:style w:type="paragraph" w:styleId="Piedepgina">
    <w:name w:val="footer"/>
    <w:basedOn w:val="Normal"/>
    <w:link w:val="PiedepginaCar"/>
    <w:uiPriority w:val="99"/>
    <w:unhideWhenUsed/>
    <w:rsid w:val="002522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document/sen-1-0007-970969" TargetMode="External"/><Relationship Id="rId13" Type="http://schemas.openxmlformats.org/officeDocument/2006/relationships/hyperlink" Target="https://nexuspj.poder-judicial.go.cr/document/sen-1-0007-973772" TargetMode="External"/><Relationship Id="rId3" Type="http://schemas.openxmlformats.org/officeDocument/2006/relationships/webSettings" Target="webSettings.xml"/><Relationship Id="rId7" Type="http://schemas.openxmlformats.org/officeDocument/2006/relationships/hyperlink" Target="https://nexuspj.poder-judicial.go.cr/document/sen-1-0007-969859" TargetMode="External"/><Relationship Id="rId12" Type="http://schemas.openxmlformats.org/officeDocument/2006/relationships/hyperlink" Target="https://nexuspj.poder-judicial.go.cr/document/sen-1-0007-97365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exuspj.poder-judicial.go.cr/document/sen-1-0007-97242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nexuspj.poder-judicial.go.cr/document/sen-1-0007-972700" TargetMode="External"/><Relationship Id="rId4" Type="http://schemas.openxmlformats.org/officeDocument/2006/relationships/footnotes" Target="footnotes.xml"/><Relationship Id="rId9" Type="http://schemas.openxmlformats.org/officeDocument/2006/relationships/hyperlink" Target="https://nexuspj.poder-judicial.go.cr/document/sen-1-0007-971274" TargetMode="External"/><Relationship Id="rId14" Type="http://schemas.openxmlformats.org/officeDocument/2006/relationships/hyperlink" Target="https://nexuspj.poder-judicial.go.cr/document/sen-1-0007-9744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1683</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Mata Blanco</dc:creator>
  <cp:keywords/>
  <dc:description/>
  <cp:lastModifiedBy>Alonso Mata Blanco</cp:lastModifiedBy>
  <cp:revision>2</cp:revision>
  <dcterms:created xsi:type="dcterms:W3CDTF">2020-06-01T20:45:00Z</dcterms:created>
  <dcterms:modified xsi:type="dcterms:W3CDTF">2020-06-01T20:45:00Z</dcterms:modified>
</cp:coreProperties>
</file>