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CC5" w:rsidRDefault="00A12CC5"/>
    <w:tbl>
      <w:tblPr>
        <w:tblStyle w:val="Tablaconcuadrcula"/>
        <w:tblW w:w="0" w:type="auto"/>
        <w:tblLook w:val="04A0"/>
      </w:tblPr>
      <w:tblGrid>
        <w:gridCol w:w="2523"/>
        <w:gridCol w:w="6455"/>
        <w:gridCol w:w="10"/>
      </w:tblGrid>
      <w:tr w:rsidR="002F340C" w:rsidTr="00E3713A">
        <w:trPr>
          <w:gridAfter w:val="1"/>
          <w:wAfter w:w="10" w:type="dxa"/>
        </w:trPr>
        <w:tc>
          <w:tcPr>
            <w:tcW w:w="8978" w:type="dxa"/>
            <w:gridSpan w:val="2"/>
            <w:shd w:val="clear" w:color="auto" w:fill="548DD4" w:themeFill="text2" w:themeFillTint="99"/>
          </w:tcPr>
          <w:p w:rsidR="002F340C" w:rsidRPr="00E3713A" w:rsidRDefault="002F340C" w:rsidP="002F340C">
            <w:pPr>
              <w:jc w:val="center"/>
              <w:rPr>
                <w:rFonts w:ascii="Arial" w:hAnsi="Arial" w:cs="Arial"/>
                <w:b/>
                <w:sz w:val="36"/>
                <w:szCs w:val="36"/>
              </w:rPr>
            </w:pPr>
            <w:r w:rsidRPr="00E3713A">
              <w:rPr>
                <w:rFonts w:ascii="Arial" w:hAnsi="Arial" w:cs="Arial"/>
                <w:b/>
                <w:sz w:val="36"/>
                <w:szCs w:val="36"/>
              </w:rPr>
              <w:t>Sentencias relevantes de la Sala Constitucional- MAYO 2019</w:t>
            </w:r>
          </w:p>
        </w:tc>
      </w:tr>
      <w:tr w:rsidR="002F340C" w:rsidRPr="002A4DF1" w:rsidTr="00245C9C">
        <w:tc>
          <w:tcPr>
            <w:tcW w:w="2523" w:type="dxa"/>
            <w:shd w:val="clear" w:color="auto" w:fill="C6D9F1" w:themeFill="text2" w:themeFillTint="33"/>
          </w:tcPr>
          <w:p w:rsidR="002F340C" w:rsidRPr="002A4DF1" w:rsidRDefault="002F340C" w:rsidP="00245C9C">
            <w:pPr>
              <w:spacing w:after="100"/>
              <w:rPr>
                <w:rFonts w:ascii="Times New Roman" w:eastAsia="Times New Roman" w:hAnsi="Times New Roman" w:cs="Times New Roman"/>
                <w:bCs/>
                <w:color w:val="000000"/>
                <w:sz w:val="24"/>
                <w:szCs w:val="24"/>
                <w:lang w:eastAsia="es-CR"/>
              </w:rPr>
            </w:pPr>
            <w:r w:rsidRPr="002A4DF1">
              <w:rPr>
                <w:rFonts w:ascii="Times New Roman" w:eastAsia="Times New Roman" w:hAnsi="Times New Roman" w:cs="Times New Roman"/>
                <w:bCs/>
                <w:color w:val="000000"/>
                <w:sz w:val="24"/>
                <w:szCs w:val="24"/>
                <w:lang w:eastAsia="es-CR"/>
              </w:rPr>
              <w:t>Número de sentencia:</w:t>
            </w:r>
          </w:p>
        </w:tc>
        <w:tc>
          <w:tcPr>
            <w:tcW w:w="6465" w:type="dxa"/>
            <w:gridSpan w:val="2"/>
            <w:shd w:val="clear" w:color="auto" w:fill="C6D9F1" w:themeFill="text2" w:themeFillTint="33"/>
          </w:tcPr>
          <w:p w:rsidR="002F340C" w:rsidRPr="002A4DF1" w:rsidRDefault="002F340C" w:rsidP="00245C9C">
            <w:pPr>
              <w:spacing w:after="100"/>
              <w:rPr>
                <w:rFonts w:ascii="Times New Roman" w:eastAsia="Times New Roman" w:hAnsi="Times New Roman" w:cs="Times New Roman"/>
                <w:bCs/>
                <w:color w:val="000000"/>
                <w:sz w:val="24"/>
                <w:szCs w:val="24"/>
                <w:lang w:eastAsia="es-CR"/>
              </w:rPr>
            </w:pPr>
            <w:r>
              <w:rPr>
                <w:rFonts w:ascii="Times New Roman" w:eastAsia="Times New Roman" w:hAnsi="Times New Roman" w:cs="Times New Roman"/>
                <w:bCs/>
                <w:color w:val="000000"/>
                <w:sz w:val="24"/>
                <w:szCs w:val="24"/>
                <w:lang w:eastAsia="es-CR"/>
              </w:rPr>
              <w:t>2019-</w:t>
            </w:r>
            <w:r w:rsidRPr="002A4DF1">
              <w:rPr>
                <w:rFonts w:ascii="Times New Roman" w:eastAsia="Times New Roman" w:hAnsi="Times New Roman" w:cs="Times New Roman"/>
                <w:bCs/>
                <w:color w:val="000000"/>
                <w:sz w:val="24"/>
                <w:szCs w:val="24"/>
                <w:lang w:eastAsia="es-CR"/>
              </w:rPr>
              <w:t>006942</w:t>
            </w:r>
          </w:p>
        </w:tc>
      </w:tr>
      <w:tr w:rsidR="002F340C" w:rsidRPr="002A4DF1" w:rsidTr="00245C9C">
        <w:tc>
          <w:tcPr>
            <w:tcW w:w="2523" w:type="dxa"/>
          </w:tcPr>
          <w:p w:rsidR="002F340C" w:rsidRPr="002A4DF1" w:rsidRDefault="002F340C" w:rsidP="00245C9C">
            <w:pPr>
              <w:spacing w:after="100"/>
              <w:rPr>
                <w:rFonts w:ascii="Times New Roman" w:eastAsia="Times New Roman" w:hAnsi="Times New Roman" w:cs="Times New Roman"/>
                <w:bCs/>
                <w:color w:val="000000"/>
                <w:sz w:val="24"/>
                <w:szCs w:val="24"/>
                <w:lang w:eastAsia="es-CR"/>
              </w:rPr>
            </w:pPr>
            <w:r w:rsidRPr="002A4DF1">
              <w:rPr>
                <w:rFonts w:ascii="Times New Roman" w:eastAsia="Times New Roman" w:hAnsi="Times New Roman" w:cs="Times New Roman"/>
                <w:bCs/>
                <w:color w:val="000000"/>
                <w:sz w:val="24"/>
                <w:szCs w:val="24"/>
                <w:lang w:eastAsia="es-CR"/>
              </w:rPr>
              <w:t>Fecha de resolución:</w:t>
            </w:r>
          </w:p>
        </w:tc>
        <w:tc>
          <w:tcPr>
            <w:tcW w:w="6465" w:type="dxa"/>
            <w:gridSpan w:val="2"/>
          </w:tcPr>
          <w:p w:rsidR="002F340C" w:rsidRPr="002A4DF1" w:rsidRDefault="002F340C" w:rsidP="00245C9C">
            <w:pPr>
              <w:spacing w:after="100"/>
              <w:rPr>
                <w:rFonts w:ascii="Times New Roman" w:eastAsia="Times New Roman" w:hAnsi="Times New Roman" w:cs="Times New Roman"/>
                <w:bCs/>
                <w:color w:val="000000"/>
                <w:sz w:val="24"/>
                <w:szCs w:val="24"/>
                <w:lang w:eastAsia="es-CR"/>
              </w:rPr>
            </w:pPr>
            <w:r>
              <w:rPr>
                <w:rFonts w:ascii="Times New Roman" w:eastAsia="Times New Roman" w:hAnsi="Times New Roman" w:cs="Times New Roman"/>
                <w:bCs/>
                <w:color w:val="000000"/>
                <w:sz w:val="24"/>
                <w:szCs w:val="24"/>
                <w:lang w:eastAsia="es-CR"/>
              </w:rPr>
              <w:t xml:space="preserve">11:50 a.m. del </w:t>
            </w:r>
            <w:r w:rsidRPr="002A4DF1">
              <w:rPr>
                <w:rFonts w:ascii="Times New Roman" w:eastAsia="Times New Roman" w:hAnsi="Times New Roman" w:cs="Times New Roman"/>
                <w:bCs/>
                <w:color w:val="000000"/>
                <w:sz w:val="24"/>
                <w:szCs w:val="24"/>
                <w:lang w:eastAsia="es-CR"/>
              </w:rPr>
              <w:t>24 de abril del 20</w:t>
            </w:r>
            <w:r>
              <w:rPr>
                <w:rFonts w:ascii="Times New Roman" w:eastAsia="Times New Roman" w:hAnsi="Times New Roman" w:cs="Times New Roman"/>
                <w:bCs/>
                <w:color w:val="000000"/>
                <w:sz w:val="24"/>
                <w:szCs w:val="24"/>
                <w:lang w:eastAsia="es-CR"/>
              </w:rPr>
              <w:t>1</w:t>
            </w:r>
            <w:r w:rsidRPr="002A4DF1">
              <w:rPr>
                <w:rFonts w:ascii="Times New Roman" w:eastAsia="Times New Roman" w:hAnsi="Times New Roman" w:cs="Times New Roman"/>
                <w:bCs/>
                <w:color w:val="000000"/>
                <w:sz w:val="24"/>
                <w:szCs w:val="24"/>
                <w:lang w:eastAsia="es-CR"/>
              </w:rPr>
              <w:t>9</w:t>
            </w:r>
          </w:p>
        </w:tc>
      </w:tr>
      <w:tr w:rsidR="002F340C" w:rsidRPr="002A4DF1" w:rsidTr="00245C9C">
        <w:tc>
          <w:tcPr>
            <w:tcW w:w="2523" w:type="dxa"/>
            <w:shd w:val="clear" w:color="auto" w:fill="D9D9D9" w:themeFill="background1" w:themeFillShade="D9"/>
          </w:tcPr>
          <w:p w:rsidR="002F340C" w:rsidRPr="002A4DF1" w:rsidRDefault="002F340C" w:rsidP="00245C9C">
            <w:pPr>
              <w:spacing w:after="100"/>
              <w:rPr>
                <w:rFonts w:ascii="Times New Roman" w:eastAsia="Times New Roman" w:hAnsi="Times New Roman" w:cs="Times New Roman"/>
                <w:bCs/>
                <w:color w:val="000000"/>
                <w:sz w:val="24"/>
                <w:szCs w:val="24"/>
                <w:lang w:eastAsia="es-CR"/>
              </w:rPr>
            </w:pPr>
            <w:r w:rsidRPr="002A4DF1">
              <w:rPr>
                <w:rFonts w:ascii="Times New Roman" w:eastAsia="Times New Roman" w:hAnsi="Times New Roman" w:cs="Times New Roman"/>
                <w:bCs/>
                <w:color w:val="000000"/>
                <w:sz w:val="24"/>
                <w:szCs w:val="24"/>
                <w:lang w:eastAsia="es-CR"/>
              </w:rPr>
              <w:t>Temática:</w:t>
            </w:r>
          </w:p>
        </w:tc>
        <w:tc>
          <w:tcPr>
            <w:tcW w:w="6465" w:type="dxa"/>
            <w:gridSpan w:val="2"/>
            <w:shd w:val="clear" w:color="auto" w:fill="D9D9D9" w:themeFill="background1" w:themeFillShade="D9"/>
          </w:tcPr>
          <w:p w:rsidR="002F340C" w:rsidRPr="002A4DF1" w:rsidRDefault="002F340C" w:rsidP="00245C9C">
            <w:pPr>
              <w:spacing w:after="100"/>
              <w:rPr>
                <w:rFonts w:ascii="Times New Roman" w:eastAsia="Times New Roman" w:hAnsi="Times New Roman" w:cs="Times New Roman"/>
                <w:bCs/>
                <w:color w:val="000000"/>
                <w:sz w:val="24"/>
                <w:szCs w:val="24"/>
                <w:lang w:eastAsia="es-CR"/>
              </w:rPr>
            </w:pPr>
            <w:r w:rsidRPr="002A4DF1">
              <w:rPr>
                <w:rFonts w:ascii="Times New Roman" w:eastAsia="Times New Roman" w:hAnsi="Times New Roman" w:cs="Times New Roman"/>
                <w:bCs/>
                <w:color w:val="000000"/>
                <w:sz w:val="24"/>
                <w:szCs w:val="24"/>
                <w:lang w:eastAsia="es-CR"/>
              </w:rPr>
              <w:t>Libertad de expresión y prensa</w:t>
            </w:r>
          </w:p>
        </w:tc>
      </w:tr>
      <w:tr w:rsidR="002F340C" w:rsidRPr="002A4DF1" w:rsidTr="00245C9C">
        <w:tc>
          <w:tcPr>
            <w:tcW w:w="2523" w:type="dxa"/>
          </w:tcPr>
          <w:p w:rsidR="002F340C" w:rsidRPr="002A4DF1" w:rsidRDefault="002F340C" w:rsidP="00245C9C">
            <w:pPr>
              <w:spacing w:after="100"/>
              <w:rPr>
                <w:rFonts w:ascii="Times New Roman" w:eastAsia="Times New Roman" w:hAnsi="Times New Roman" w:cs="Times New Roman"/>
                <w:bCs/>
                <w:color w:val="000000"/>
                <w:sz w:val="24"/>
                <w:szCs w:val="24"/>
                <w:lang w:eastAsia="es-CR"/>
              </w:rPr>
            </w:pPr>
            <w:r w:rsidRPr="002A4DF1">
              <w:rPr>
                <w:rFonts w:ascii="Times New Roman" w:eastAsia="Times New Roman" w:hAnsi="Times New Roman" w:cs="Times New Roman"/>
                <w:bCs/>
                <w:color w:val="000000"/>
                <w:sz w:val="24"/>
                <w:szCs w:val="24"/>
                <w:lang w:eastAsia="es-CR"/>
              </w:rPr>
              <w:t>Tipo de asunto:</w:t>
            </w:r>
          </w:p>
        </w:tc>
        <w:tc>
          <w:tcPr>
            <w:tcW w:w="6465" w:type="dxa"/>
            <w:gridSpan w:val="2"/>
          </w:tcPr>
          <w:p w:rsidR="002F340C" w:rsidRPr="002A4DF1" w:rsidRDefault="002F340C" w:rsidP="00245C9C">
            <w:pPr>
              <w:spacing w:after="100"/>
              <w:rPr>
                <w:rFonts w:ascii="Times New Roman" w:eastAsia="Times New Roman" w:hAnsi="Times New Roman" w:cs="Times New Roman"/>
                <w:bCs/>
                <w:color w:val="000000"/>
                <w:sz w:val="24"/>
                <w:szCs w:val="24"/>
                <w:lang w:eastAsia="es-CR"/>
              </w:rPr>
            </w:pPr>
            <w:r w:rsidRPr="002A4DF1">
              <w:rPr>
                <w:rFonts w:ascii="Times New Roman" w:eastAsia="Times New Roman" w:hAnsi="Times New Roman" w:cs="Times New Roman"/>
                <w:bCs/>
                <w:color w:val="000000"/>
                <w:sz w:val="24"/>
                <w:szCs w:val="24"/>
                <w:lang w:eastAsia="es-CR"/>
              </w:rPr>
              <w:t>Recurso de amparo</w:t>
            </w:r>
          </w:p>
        </w:tc>
      </w:tr>
      <w:tr w:rsidR="002F340C" w:rsidRPr="002A4DF1" w:rsidTr="00245C9C">
        <w:tc>
          <w:tcPr>
            <w:tcW w:w="2523" w:type="dxa"/>
          </w:tcPr>
          <w:p w:rsidR="002F340C" w:rsidRPr="002A4DF1" w:rsidRDefault="002F340C" w:rsidP="00245C9C">
            <w:pPr>
              <w:spacing w:after="100"/>
              <w:rPr>
                <w:rFonts w:ascii="Times New Roman" w:eastAsia="Times New Roman" w:hAnsi="Times New Roman" w:cs="Times New Roman"/>
                <w:bCs/>
                <w:color w:val="000000"/>
                <w:sz w:val="24"/>
                <w:szCs w:val="24"/>
                <w:lang w:eastAsia="es-CR"/>
              </w:rPr>
            </w:pPr>
            <w:r w:rsidRPr="002A4DF1">
              <w:rPr>
                <w:rFonts w:ascii="Times New Roman" w:eastAsia="Times New Roman" w:hAnsi="Times New Roman" w:cs="Times New Roman"/>
                <w:bCs/>
                <w:color w:val="000000"/>
                <w:sz w:val="24"/>
                <w:szCs w:val="24"/>
                <w:lang w:eastAsia="es-CR"/>
              </w:rPr>
              <w:t>Resumen:</w:t>
            </w:r>
          </w:p>
        </w:tc>
        <w:tc>
          <w:tcPr>
            <w:tcW w:w="6465" w:type="dxa"/>
            <w:gridSpan w:val="2"/>
          </w:tcPr>
          <w:p w:rsidR="002F340C" w:rsidRPr="002A4DF1" w:rsidRDefault="002F340C" w:rsidP="00245C9C">
            <w:pPr>
              <w:spacing w:after="100"/>
              <w:rPr>
                <w:rFonts w:ascii="Times New Roman" w:eastAsia="Times New Roman" w:hAnsi="Times New Roman" w:cs="Times New Roman"/>
                <w:bCs/>
                <w:sz w:val="24"/>
                <w:szCs w:val="24"/>
                <w:lang w:eastAsia="es-CR"/>
              </w:rPr>
            </w:pPr>
            <w:r w:rsidRPr="002A4DF1">
              <w:rPr>
                <w:rFonts w:ascii="Times New Roman" w:hAnsi="Times New Roman" w:cs="Times New Roman"/>
                <w:sz w:val="24"/>
                <w:szCs w:val="24"/>
                <w:shd w:val="clear" w:color="auto" w:fill="FFFFFF"/>
              </w:rPr>
              <w:t>No procede el de</w:t>
            </w:r>
            <w:r>
              <w:rPr>
                <w:rFonts w:ascii="Times New Roman" w:hAnsi="Times New Roman" w:cs="Times New Roman"/>
                <w:sz w:val="24"/>
                <w:szCs w:val="24"/>
                <w:shd w:val="clear" w:color="auto" w:fill="FFFFFF"/>
              </w:rPr>
              <w:t>recho rectificación y respuesta</w:t>
            </w:r>
            <w:r w:rsidRPr="002A4DF1">
              <w:rPr>
                <w:rFonts w:ascii="Times New Roman" w:hAnsi="Times New Roman" w:cs="Times New Roman"/>
                <w:sz w:val="24"/>
                <w:szCs w:val="24"/>
                <w:shd w:val="clear" w:color="auto" w:fill="FFFFFF"/>
              </w:rPr>
              <w:t xml:space="preserve"> por declaraciones dadas en conferencia de prensa por autoridades penales a medios de comunicación. Ausencia de control po</w:t>
            </w:r>
            <w:r>
              <w:rPr>
                <w:rFonts w:ascii="Times New Roman" w:hAnsi="Times New Roman" w:cs="Times New Roman"/>
                <w:sz w:val="24"/>
                <w:szCs w:val="24"/>
                <w:shd w:val="clear" w:color="auto" w:fill="FFFFFF"/>
              </w:rPr>
              <w:t xml:space="preserve">r parte de los poderes públicos </w:t>
            </w:r>
            <w:r w:rsidRPr="002A4DF1">
              <w:rPr>
                <w:rFonts w:ascii="Times New Roman" w:hAnsi="Times New Roman" w:cs="Times New Roman"/>
                <w:sz w:val="24"/>
                <w:szCs w:val="24"/>
                <w:shd w:val="clear" w:color="auto" w:fill="FFFFFF"/>
              </w:rPr>
              <w:t xml:space="preserve"> para ejercer la libertad de información. No procede la censura previa en conferencias de prensa. La libertad de prensa es un derecho preferente. Caso de Juan Carlos Bolaños. </w:t>
            </w:r>
            <w:r w:rsidRPr="002A4DF1">
              <w:rPr>
                <w:rFonts w:ascii="Times New Roman" w:hAnsi="Times New Roman" w:cs="Times New Roman"/>
                <w:sz w:val="24"/>
                <w:szCs w:val="24"/>
                <w:u w:val="single"/>
                <w:shd w:val="clear" w:color="auto" w:fill="FFFFFF"/>
              </w:rPr>
              <w:t>Rechazo de fondo.</w:t>
            </w:r>
          </w:p>
        </w:tc>
      </w:tr>
      <w:tr w:rsidR="002F340C" w:rsidTr="00245C9C">
        <w:tc>
          <w:tcPr>
            <w:tcW w:w="2523" w:type="dxa"/>
          </w:tcPr>
          <w:p w:rsidR="002F340C" w:rsidRDefault="002F340C" w:rsidP="00245C9C">
            <w:pPr>
              <w:spacing w:after="100"/>
              <w:rPr>
                <w:rFonts w:ascii="Times New Roman" w:eastAsia="Times New Roman" w:hAnsi="Times New Roman" w:cs="Times New Roman"/>
                <w:b/>
                <w:bCs/>
                <w:color w:val="000000"/>
                <w:sz w:val="24"/>
                <w:szCs w:val="24"/>
                <w:lang w:eastAsia="es-CR"/>
              </w:rPr>
            </w:pPr>
          </w:p>
        </w:tc>
        <w:tc>
          <w:tcPr>
            <w:tcW w:w="6465" w:type="dxa"/>
            <w:gridSpan w:val="2"/>
          </w:tcPr>
          <w:p w:rsidR="002F340C" w:rsidRDefault="002F340C" w:rsidP="00245C9C">
            <w:pPr>
              <w:spacing w:after="100"/>
              <w:rPr>
                <w:rFonts w:ascii="Times New Roman" w:eastAsia="Times New Roman" w:hAnsi="Times New Roman" w:cs="Times New Roman"/>
                <w:b/>
                <w:bCs/>
                <w:color w:val="000000"/>
                <w:sz w:val="24"/>
                <w:szCs w:val="24"/>
                <w:lang w:eastAsia="es-CR"/>
              </w:rPr>
            </w:pPr>
          </w:p>
        </w:tc>
      </w:tr>
      <w:tr w:rsidR="002F340C" w:rsidRPr="005570AB" w:rsidTr="00245C9C">
        <w:tc>
          <w:tcPr>
            <w:tcW w:w="2523" w:type="dxa"/>
            <w:shd w:val="clear" w:color="auto" w:fill="C6D9F1" w:themeFill="text2" w:themeFillTint="33"/>
          </w:tcPr>
          <w:p w:rsidR="002F340C" w:rsidRPr="005570AB" w:rsidRDefault="002F340C" w:rsidP="00245C9C">
            <w:pPr>
              <w:spacing w:after="100"/>
              <w:rPr>
                <w:rFonts w:ascii="Times New Roman" w:eastAsia="Times New Roman" w:hAnsi="Times New Roman" w:cs="Times New Roman"/>
                <w:bCs/>
                <w:color w:val="000000"/>
                <w:sz w:val="24"/>
                <w:szCs w:val="24"/>
                <w:lang w:eastAsia="es-CR"/>
              </w:rPr>
            </w:pPr>
            <w:r w:rsidRPr="005570AB">
              <w:rPr>
                <w:rFonts w:ascii="Times New Roman" w:eastAsia="Times New Roman" w:hAnsi="Times New Roman" w:cs="Times New Roman"/>
                <w:bCs/>
                <w:color w:val="000000"/>
                <w:sz w:val="24"/>
                <w:szCs w:val="24"/>
                <w:lang w:eastAsia="es-CR"/>
              </w:rPr>
              <w:t>Número de sentencia</w:t>
            </w:r>
          </w:p>
        </w:tc>
        <w:tc>
          <w:tcPr>
            <w:tcW w:w="6465" w:type="dxa"/>
            <w:gridSpan w:val="2"/>
            <w:shd w:val="clear" w:color="auto" w:fill="C6D9F1" w:themeFill="text2" w:themeFillTint="33"/>
          </w:tcPr>
          <w:p w:rsidR="002F340C" w:rsidRPr="005570AB" w:rsidRDefault="002F340C" w:rsidP="00245C9C">
            <w:pPr>
              <w:spacing w:after="100"/>
              <w:rPr>
                <w:rFonts w:ascii="Times New Roman" w:eastAsia="Times New Roman" w:hAnsi="Times New Roman" w:cs="Times New Roman"/>
                <w:bCs/>
                <w:color w:val="000000"/>
                <w:sz w:val="24"/>
                <w:szCs w:val="24"/>
                <w:lang w:eastAsia="es-CR"/>
              </w:rPr>
            </w:pPr>
            <w:r w:rsidRPr="005570AB">
              <w:rPr>
                <w:rFonts w:ascii="Times New Roman" w:eastAsia="Times New Roman" w:hAnsi="Times New Roman" w:cs="Times New Roman"/>
                <w:color w:val="000000"/>
                <w:sz w:val="24"/>
                <w:szCs w:val="24"/>
                <w:lang w:eastAsia="es-CR"/>
              </w:rPr>
              <w:t xml:space="preserve">2019-006994 </w:t>
            </w:r>
          </w:p>
        </w:tc>
      </w:tr>
      <w:tr w:rsidR="002F340C" w:rsidRPr="005570AB" w:rsidTr="00245C9C">
        <w:tc>
          <w:tcPr>
            <w:tcW w:w="2523" w:type="dxa"/>
          </w:tcPr>
          <w:p w:rsidR="002F340C" w:rsidRPr="005570AB" w:rsidRDefault="002F340C" w:rsidP="00245C9C">
            <w:pPr>
              <w:spacing w:after="100"/>
              <w:rPr>
                <w:rFonts w:ascii="Times New Roman" w:eastAsia="Times New Roman" w:hAnsi="Times New Roman" w:cs="Times New Roman"/>
                <w:bCs/>
                <w:color w:val="000000"/>
                <w:sz w:val="24"/>
                <w:szCs w:val="24"/>
                <w:lang w:eastAsia="es-CR"/>
              </w:rPr>
            </w:pPr>
            <w:r w:rsidRPr="005570AB">
              <w:rPr>
                <w:rFonts w:ascii="Times New Roman" w:eastAsia="Times New Roman" w:hAnsi="Times New Roman" w:cs="Times New Roman"/>
                <w:bCs/>
                <w:color w:val="000000"/>
                <w:sz w:val="24"/>
                <w:szCs w:val="24"/>
                <w:lang w:eastAsia="es-CR"/>
              </w:rPr>
              <w:t>Fecha de resolución:</w:t>
            </w:r>
          </w:p>
        </w:tc>
        <w:tc>
          <w:tcPr>
            <w:tcW w:w="6465" w:type="dxa"/>
            <w:gridSpan w:val="2"/>
          </w:tcPr>
          <w:p w:rsidR="002F340C" w:rsidRPr="005570AB" w:rsidRDefault="00CB7F8B" w:rsidP="00245C9C">
            <w:pPr>
              <w:spacing w:after="100"/>
              <w:rPr>
                <w:rFonts w:ascii="Times New Roman" w:eastAsia="Times New Roman" w:hAnsi="Times New Roman" w:cs="Times New Roman"/>
                <w:bCs/>
                <w:color w:val="000000"/>
                <w:sz w:val="24"/>
                <w:szCs w:val="24"/>
                <w:lang w:eastAsia="es-CR"/>
              </w:rPr>
            </w:pPr>
            <w:r>
              <w:rPr>
                <w:rFonts w:ascii="Times New Roman" w:eastAsia="Times New Roman" w:hAnsi="Times New Roman" w:cs="Times New Roman"/>
                <w:color w:val="000000"/>
                <w:sz w:val="24"/>
                <w:szCs w:val="24"/>
                <w:lang w:eastAsia="es-CR"/>
              </w:rPr>
              <w:t>A las 9:</w:t>
            </w:r>
            <w:r w:rsidR="002F340C">
              <w:rPr>
                <w:rFonts w:ascii="Times New Roman" w:eastAsia="Times New Roman" w:hAnsi="Times New Roman" w:cs="Times New Roman"/>
                <w:color w:val="000000"/>
                <w:sz w:val="24"/>
                <w:szCs w:val="24"/>
                <w:lang w:eastAsia="es-CR"/>
              </w:rPr>
              <w:t xml:space="preserve">20 a.m. </w:t>
            </w:r>
            <w:r w:rsidR="002F340C" w:rsidRPr="005570AB">
              <w:rPr>
                <w:rFonts w:ascii="Times New Roman" w:eastAsia="Times New Roman" w:hAnsi="Times New Roman" w:cs="Times New Roman"/>
                <w:color w:val="000000"/>
                <w:sz w:val="24"/>
                <w:szCs w:val="24"/>
                <w:lang w:eastAsia="es-CR"/>
              </w:rPr>
              <w:t>de</w:t>
            </w:r>
            <w:r w:rsidR="002F340C">
              <w:rPr>
                <w:rFonts w:ascii="Times New Roman" w:eastAsia="Times New Roman" w:hAnsi="Times New Roman" w:cs="Times New Roman"/>
                <w:color w:val="000000"/>
                <w:sz w:val="24"/>
                <w:szCs w:val="24"/>
                <w:lang w:eastAsia="es-CR"/>
              </w:rPr>
              <w:t>l</w:t>
            </w:r>
            <w:r w:rsidR="002F340C" w:rsidRPr="005570AB">
              <w:rPr>
                <w:rFonts w:ascii="Times New Roman" w:eastAsia="Times New Roman" w:hAnsi="Times New Roman" w:cs="Times New Roman"/>
                <w:color w:val="000000"/>
                <w:sz w:val="24"/>
                <w:szCs w:val="24"/>
                <w:lang w:eastAsia="es-CR"/>
              </w:rPr>
              <w:t xml:space="preserve"> 26 de abril de 2019</w:t>
            </w:r>
          </w:p>
        </w:tc>
      </w:tr>
      <w:tr w:rsidR="002F340C" w:rsidRPr="005570AB" w:rsidTr="00245C9C">
        <w:tc>
          <w:tcPr>
            <w:tcW w:w="2523" w:type="dxa"/>
            <w:shd w:val="clear" w:color="auto" w:fill="D9D9D9" w:themeFill="background1" w:themeFillShade="D9"/>
          </w:tcPr>
          <w:p w:rsidR="002F340C" w:rsidRPr="005570AB" w:rsidRDefault="002F340C" w:rsidP="00245C9C">
            <w:pPr>
              <w:spacing w:after="100"/>
              <w:rPr>
                <w:rFonts w:ascii="Times New Roman" w:eastAsia="Times New Roman" w:hAnsi="Times New Roman" w:cs="Times New Roman"/>
                <w:bCs/>
                <w:color w:val="000000"/>
                <w:sz w:val="24"/>
                <w:szCs w:val="24"/>
                <w:lang w:eastAsia="es-CR"/>
              </w:rPr>
            </w:pPr>
            <w:r w:rsidRPr="005570AB">
              <w:rPr>
                <w:rFonts w:ascii="Times New Roman" w:eastAsia="Times New Roman" w:hAnsi="Times New Roman" w:cs="Times New Roman"/>
                <w:bCs/>
                <w:color w:val="000000"/>
                <w:sz w:val="24"/>
                <w:szCs w:val="24"/>
                <w:lang w:eastAsia="es-CR"/>
              </w:rPr>
              <w:t>Temática:</w:t>
            </w:r>
          </w:p>
        </w:tc>
        <w:tc>
          <w:tcPr>
            <w:tcW w:w="6465" w:type="dxa"/>
            <w:gridSpan w:val="2"/>
            <w:shd w:val="clear" w:color="auto" w:fill="D9D9D9" w:themeFill="background1" w:themeFillShade="D9"/>
          </w:tcPr>
          <w:p w:rsidR="002F340C" w:rsidRPr="005570AB" w:rsidRDefault="002F340C" w:rsidP="00245C9C">
            <w:pPr>
              <w:spacing w:after="100"/>
              <w:rPr>
                <w:rFonts w:ascii="Times New Roman" w:eastAsia="Times New Roman" w:hAnsi="Times New Roman" w:cs="Times New Roman"/>
                <w:bCs/>
                <w:color w:val="000000"/>
                <w:sz w:val="24"/>
                <w:szCs w:val="24"/>
                <w:lang w:eastAsia="es-CR"/>
              </w:rPr>
            </w:pPr>
            <w:r w:rsidRPr="005570AB">
              <w:rPr>
                <w:rFonts w:ascii="Times New Roman" w:eastAsia="Times New Roman" w:hAnsi="Times New Roman" w:cs="Times New Roman"/>
                <w:bCs/>
                <w:color w:val="000000"/>
                <w:sz w:val="24"/>
                <w:szCs w:val="24"/>
                <w:lang w:eastAsia="es-CR"/>
              </w:rPr>
              <w:t>Ambiente</w:t>
            </w:r>
          </w:p>
        </w:tc>
      </w:tr>
      <w:tr w:rsidR="002F340C" w:rsidRPr="005570AB" w:rsidTr="00245C9C">
        <w:tc>
          <w:tcPr>
            <w:tcW w:w="2523" w:type="dxa"/>
          </w:tcPr>
          <w:p w:rsidR="002F340C" w:rsidRPr="005570AB" w:rsidRDefault="002F340C" w:rsidP="00245C9C">
            <w:pPr>
              <w:spacing w:after="100"/>
              <w:rPr>
                <w:rFonts w:ascii="Times New Roman" w:eastAsia="Times New Roman" w:hAnsi="Times New Roman" w:cs="Times New Roman"/>
                <w:bCs/>
                <w:color w:val="000000"/>
                <w:sz w:val="24"/>
                <w:szCs w:val="24"/>
                <w:lang w:eastAsia="es-CR"/>
              </w:rPr>
            </w:pPr>
            <w:r w:rsidRPr="005570AB">
              <w:rPr>
                <w:rFonts w:ascii="Times New Roman" w:eastAsia="Times New Roman" w:hAnsi="Times New Roman" w:cs="Times New Roman"/>
                <w:bCs/>
                <w:color w:val="000000"/>
                <w:sz w:val="24"/>
                <w:szCs w:val="24"/>
                <w:lang w:eastAsia="es-CR"/>
              </w:rPr>
              <w:t>Tipo de asunto:</w:t>
            </w:r>
          </w:p>
        </w:tc>
        <w:tc>
          <w:tcPr>
            <w:tcW w:w="6465" w:type="dxa"/>
            <w:gridSpan w:val="2"/>
          </w:tcPr>
          <w:p w:rsidR="002F340C" w:rsidRPr="005570AB" w:rsidRDefault="002F340C" w:rsidP="00245C9C">
            <w:pPr>
              <w:spacing w:after="100"/>
              <w:rPr>
                <w:rFonts w:ascii="Times New Roman" w:eastAsia="Times New Roman" w:hAnsi="Times New Roman" w:cs="Times New Roman"/>
                <w:bCs/>
                <w:color w:val="000000"/>
                <w:sz w:val="24"/>
                <w:szCs w:val="24"/>
                <w:lang w:eastAsia="es-CR"/>
              </w:rPr>
            </w:pPr>
            <w:r w:rsidRPr="005570AB">
              <w:rPr>
                <w:rFonts w:ascii="Times New Roman" w:eastAsia="Times New Roman" w:hAnsi="Times New Roman" w:cs="Times New Roman"/>
                <w:bCs/>
                <w:color w:val="000000"/>
                <w:sz w:val="24"/>
                <w:szCs w:val="24"/>
                <w:lang w:eastAsia="es-CR"/>
              </w:rPr>
              <w:t>Recurso de amparo</w:t>
            </w:r>
          </w:p>
        </w:tc>
      </w:tr>
      <w:tr w:rsidR="002F340C" w:rsidRPr="005570AB" w:rsidTr="00245C9C">
        <w:tc>
          <w:tcPr>
            <w:tcW w:w="2523" w:type="dxa"/>
          </w:tcPr>
          <w:p w:rsidR="002F340C" w:rsidRPr="005570AB" w:rsidRDefault="002F340C" w:rsidP="00245C9C">
            <w:pPr>
              <w:spacing w:after="100"/>
              <w:rPr>
                <w:rFonts w:ascii="Times New Roman" w:eastAsia="Times New Roman" w:hAnsi="Times New Roman" w:cs="Times New Roman"/>
                <w:bCs/>
                <w:color w:val="000000"/>
                <w:sz w:val="24"/>
                <w:szCs w:val="24"/>
                <w:lang w:eastAsia="es-CR"/>
              </w:rPr>
            </w:pPr>
            <w:r w:rsidRPr="005570AB">
              <w:rPr>
                <w:rFonts w:ascii="Times New Roman" w:eastAsia="Times New Roman" w:hAnsi="Times New Roman" w:cs="Times New Roman"/>
                <w:bCs/>
                <w:color w:val="000000"/>
                <w:sz w:val="24"/>
                <w:szCs w:val="24"/>
                <w:lang w:eastAsia="es-CR"/>
              </w:rPr>
              <w:t xml:space="preserve">Resumen: </w:t>
            </w:r>
          </w:p>
        </w:tc>
        <w:tc>
          <w:tcPr>
            <w:tcW w:w="6465" w:type="dxa"/>
            <w:gridSpan w:val="2"/>
          </w:tcPr>
          <w:p w:rsidR="002F340C" w:rsidRPr="005570AB" w:rsidRDefault="002F340C" w:rsidP="00CB7F8B">
            <w:pPr>
              <w:spacing w:after="100"/>
              <w:rPr>
                <w:rFonts w:ascii="Times New Roman" w:eastAsia="Times New Roman" w:hAnsi="Times New Roman" w:cs="Times New Roman"/>
                <w:bCs/>
                <w:color w:val="000000"/>
                <w:sz w:val="24"/>
                <w:szCs w:val="24"/>
                <w:lang w:eastAsia="es-CR"/>
              </w:rPr>
            </w:pPr>
            <w:r w:rsidRPr="005570AB">
              <w:rPr>
                <w:rFonts w:ascii="Times New Roman" w:eastAsia="Times New Roman" w:hAnsi="Times New Roman" w:cs="Times New Roman"/>
                <w:color w:val="000000"/>
                <w:sz w:val="24"/>
                <w:szCs w:val="24"/>
                <w:lang w:eastAsia="es-CR"/>
              </w:rPr>
              <w:t>Se ordena a la Municipalidad de Naranjo suspender las obras en calle denominada La Casona</w:t>
            </w:r>
            <w:r w:rsidR="00CB7F8B">
              <w:rPr>
                <w:rFonts w:ascii="Times New Roman" w:eastAsia="Times New Roman" w:hAnsi="Times New Roman" w:cs="Times New Roman"/>
                <w:color w:val="000000"/>
                <w:sz w:val="24"/>
                <w:szCs w:val="24"/>
                <w:lang w:eastAsia="es-CR"/>
              </w:rPr>
              <w:t xml:space="preserve"> hasta</w:t>
            </w:r>
            <w:r w:rsidRPr="005570AB">
              <w:rPr>
                <w:rFonts w:ascii="Times New Roman" w:eastAsia="Times New Roman" w:hAnsi="Times New Roman" w:cs="Times New Roman"/>
                <w:color w:val="000000"/>
                <w:sz w:val="24"/>
                <w:szCs w:val="24"/>
                <w:lang w:eastAsia="es-CR"/>
              </w:rPr>
              <w:t xml:space="preserve"> contar con u</w:t>
            </w:r>
            <w:r w:rsidR="00CB7F8B">
              <w:rPr>
                <w:rFonts w:ascii="Times New Roman" w:eastAsia="Times New Roman" w:hAnsi="Times New Roman" w:cs="Times New Roman"/>
                <w:color w:val="000000"/>
                <w:sz w:val="24"/>
                <w:szCs w:val="24"/>
                <w:lang w:eastAsia="es-CR"/>
              </w:rPr>
              <w:t xml:space="preserve">n informe técnico que determine </w:t>
            </w:r>
            <w:r w:rsidRPr="005570AB">
              <w:rPr>
                <w:rFonts w:ascii="Times New Roman" w:eastAsia="Times New Roman" w:hAnsi="Times New Roman" w:cs="Times New Roman"/>
                <w:color w:val="000000"/>
                <w:sz w:val="24"/>
                <w:szCs w:val="24"/>
                <w:lang w:eastAsia="es-CR"/>
              </w:rPr>
              <w:t>que los trabajos de asfaltado no afectarán los mantos acuíferos. </w:t>
            </w:r>
            <w:r w:rsidRPr="005570AB">
              <w:rPr>
                <w:rFonts w:ascii="Times New Roman" w:eastAsia="Times New Roman" w:hAnsi="Times New Roman" w:cs="Times New Roman"/>
                <w:color w:val="000000"/>
                <w:sz w:val="24"/>
                <w:szCs w:val="24"/>
                <w:u w:val="single"/>
                <w:lang w:eastAsia="es-CR"/>
              </w:rPr>
              <w:t>Se declara con lugar.</w:t>
            </w:r>
          </w:p>
        </w:tc>
      </w:tr>
      <w:tr w:rsidR="002F340C" w:rsidTr="00245C9C">
        <w:tc>
          <w:tcPr>
            <w:tcW w:w="2523" w:type="dxa"/>
          </w:tcPr>
          <w:p w:rsidR="002F340C" w:rsidRDefault="002F340C" w:rsidP="00245C9C">
            <w:pPr>
              <w:spacing w:after="100"/>
              <w:rPr>
                <w:rFonts w:ascii="Times New Roman" w:eastAsia="Times New Roman" w:hAnsi="Times New Roman" w:cs="Times New Roman"/>
                <w:b/>
                <w:bCs/>
                <w:color w:val="000000"/>
                <w:sz w:val="24"/>
                <w:szCs w:val="24"/>
                <w:lang w:eastAsia="es-CR"/>
              </w:rPr>
            </w:pPr>
          </w:p>
        </w:tc>
        <w:tc>
          <w:tcPr>
            <w:tcW w:w="6465" w:type="dxa"/>
            <w:gridSpan w:val="2"/>
          </w:tcPr>
          <w:p w:rsidR="002F340C" w:rsidRDefault="002F340C" w:rsidP="00245C9C">
            <w:pPr>
              <w:spacing w:after="100"/>
              <w:rPr>
                <w:rFonts w:ascii="Times New Roman" w:eastAsia="Times New Roman" w:hAnsi="Times New Roman" w:cs="Times New Roman"/>
                <w:b/>
                <w:bCs/>
                <w:color w:val="000000"/>
                <w:sz w:val="24"/>
                <w:szCs w:val="24"/>
                <w:lang w:eastAsia="es-CR"/>
              </w:rPr>
            </w:pPr>
          </w:p>
        </w:tc>
      </w:tr>
      <w:tr w:rsidR="002F340C" w:rsidRPr="005570AB" w:rsidTr="00245C9C">
        <w:tc>
          <w:tcPr>
            <w:tcW w:w="2523" w:type="dxa"/>
            <w:shd w:val="clear" w:color="auto" w:fill="C6D9F1" w:themeFill="text2" w:themeFillTint="33"/>
          </w:tcPr>
          <w:p w:rsidR="002F340C" w:rsidRPr="005570AB" w:rsidRDefault="002F340C" w:rsidP="00245C9C">
            <w:pPr>
              <w:spacing w:after="100"/>
              <w:rPr>
                <w:rFonts w:ascii="Times New Roman" w:eastAsia="Times New Roman" w:hAnsi="Times New Roman" w:cs="Times New Roman"/>
                <w:bCs/>
                <w:color w:val="000000"/>
                <w:sz w:val="24"/>
                <w:szCs w:val="24"/>
                <w:lang w:eastAsia="es-CR"/>
              </w:rPr>
            </w:pPr>
            <w:r w:rsidRPr="005570AB">
              <w:rPr>
                <w:rFonts w:ascii="Times New Roman" w:eastAsia="Times New Roman" w:hAnsi="Times New Roman" w:cs="Times New Roman"/>
                <w:bCs/>
                <w:color w:val="000000"/>
                <w:sz w:val="24"/>
                <w:szCs w:val="24"/>
                <w:lang w:eastAsia="es-CR"/>
              </w:rPr>
              <w:t>Número de sentencia</w:t>
            </w:r>
          </w:p>
        </w:tc>
        <w:tc>
          <w:tcPr>
            <w:tcW w:w="6465" w:type="dxa"/>
            <w:gridSpan w:val="2"/>
            <w:shd w:val="clear" w:color="auto" w:fill="C6D9F1" w:themeFill="text2" w:themeFillTint="33"/>
          </w:tcPr>
          <w:p w:rsidR="002F340C" w:rsidRPr="005570AB" w:rsidRDefault="002F340C" w:rsidP="00245C9C">
            <w:pPr>
              <w:spacing w:after="100"/>
              <w:rPr>
                <w:rFonts w:ascii="Times New Roman" w:eastAsia="Times New Roman" w:hAnsi="Times New Roman" w:cs="Times New Roman"/>
                <w:bCs/>
                <w:color w:val="000000"/>
                <w:sz w:val="24"/>
                <w:szCs w:val="24"/>
                <w:lang w:eastAsia="es-CR"/>
              </w:rPr>
            </w:pPr>
            <w:r w:rsidRPr="005570AB">
              <w:rPr>
                <w:rFonts w:ascii="Times New Roman" w:eastAsia="Times New Roman" w:hAnsi="Times New Roman" w:cs="Times New Roman"/>
                <w:color w:val="000000"/>
                <w:sz w:val="24"/>
                <w:szCs w:val="24"/>
                <w:lang w:eastAsia="es-CR"/>
              </w:rPr>
              <w:t>2019-</w:t>
            </w:r>
            <w:r w:rsidRPr="00CB7F8B">
              <w:rPr>
                <w:rFonts w:ascii="Times New Roman" w:eastAsia="Times New Roman" w:hAnsi="Times New Roman" w:cs="Times New Roman"/>
                <w:bCs/>
                <w:color w:val="000000"/>
                <w:sz w:val="24"/>
                <w:szCs w:val="24"/>
                <w:lang w:eastAsia="es-CR"/>
              </w:rPr>
              <w:t>007033</w:t>
            </w:r>
          </w:p>
        </w:tc>
      </w:tr>
      <w:tr w:rsidR="002F340C" w:rsidRPr="005570AB" w:rsidTr="00245C9C">
        <w:tc>
          <w:tcPr>
            <w:tcW w:w="2523" w:type="dxa"/>
          </w:tcPr>
          <w:p w:rsidR="002F340C" w:rsidRPr="005570AB" w:rsidRDefault="002F340C" w:rsidP="00245C9C">
            <w:pPr>
              <w:spacing w:after="100"/>
              <w:rPr>
                <w:rFonts w:ascii="Times New Roman" w:eastAsia="Times New Roman" w:hAnsi="Times New Roman" w:cs="Times New Roman"/>
                <w:bCs/>
                <w:color w:val="000000"/>
                <w:sz w:val="24"/>
                <w:szCs w:val="24"/>
                <w:lang w:eastAsia="es-CR"/>
              </w:rPr>
            </w:pPr>
            <w:r w:rsidRPr="005570AB">
              <w:rPr>
                <w:rFonts w:ascii="Times New Roman" w:eastAsia="Times New Roman" w:hAnsi="Times New Roman" w:cs="Times New Roman"/>
                <w:bCs/>
                <w:color w:val="000000"/>
                <w:sz w:val="24"/>
                <w:szCs w:val="24"/>
                <w:lang w:eastAsia="es-CR"/>
              </w:rPr>
              <w:t>Fecha de resolución:</w:t>
            </w:r>
          </w:p>
        </w:tc>
        <w:tc>
          <w:tcPr>
            <w:tcW w:w="6465" w:type="dxa"/>
            <w:gridSpan w:val="2"/>
          </w:tcPr>
          <w:p w:rsidR="002F340C" w:rsidRPr="005570AB" w:rsidRDefault="002F340C" w:rsidP="00245C9C">
            <w:pPr>
              <w:spacing w:after="100"/>
              <w:rPr>
                <w:rFonts w:ascii="Times New Roman" w:eastAsia="Times New Roman" w:hAnsi="Times New Roman" w:cs="Times New Roman"/>
                <w:bCs/>
                <w:color w:val="000000"/>
                <w:sz w:val="24"/>
                <w:szCs w:val="24"/>
                <w:lang w:eastAsia="es-CR"/>
              </w:rPr>
            </w:pPr>
            <w:r>
              <w:rPr>
                <w:rFonts w:ascii="Times New Roman" w:eastAsia="Times New Roman" w:hAnsi="Times New Roman" w:cs="Times New Roman"/>
                <w:color w:val="000000"/>
                <w:sz w:val="24"/>
                <w:szCs w:val="24"/>
                <w:lang w:eastAsia="es-CR"/>
              </w:rPr>
              <w:t>9:20 a.m.</w:t>
            </w:r>
            <w:r w:rsidRPr="00A912DD">
              <w:rPr>
                <w:rFonts w:ascii="Times New Roman" w:eastAsia="Times New Roman" w:hAnsi="Times New Roman" w:cs="Times New Roman"/>
                <w:color w:val="000000"/>
                <w:sz w:val="24"/>
                <w:szCs w:val="24"/>
                <w:lang w:eastAsia="es-CR"/>
              </w:rPr>
              <w:t xml:space="preserve"> 26 de abril de 2019</w:t>
            </w:r>
          </w:p>
        </w:tc>
      </w:tr>
      <w:tr w:rsidR="002F340C" w:rsidRPr="005570AB" w:rsidTr="00245C9C">
        <w:tc>
          <w:tcPr>
            <w:tcW w:w="2523" w:type="dxa"/>
            <w:shd w:val="clear" w:color="auto" w:fill="D9D9D9" w:themeFill="background1" w:themeFillShade="D9"/>
          </w:tcPr>
          <w:p w:rsidR="002F340C" w:rsidRPr="005570AB" w:rsidRDefault="002F340C" w:rsidP="00245C9C">
            <w:pPr>
              <w:spacing w:after="100"/>
              <w:rPr>
                <w:rFonts w:ascii="Times New Roman" w:eastAsia="Times New Roman" w:hAnsi="Times New Roman" w:cs="Times New Roman"/>
                <w:bCs/>
                <w:color w:val="000000"/>
                <w:sz w:val="24"/>
                <w:szCs w:val="24"/>
                <w:lang w:eastAsia="es-CR"/>
              </w:rPr>
            </w:pPr>
            <w:r w:rsidRPr="005570AB">
              <w:rPr>
                <w:rFonts w:ascii="Times New Roman" w:eastAsia="Times New Roman" w:hAnsi="Times New Roman" w:cs="Times New Roman"/>
                <w:bCs/>
                <w:color w:val="000000"/>
                <w:sz w:val="24"/>
                <w:szCs w:val="24"/>
                <w:lang w:eastAsia="es-CR"/>
              </w:rPr>
              <w:t>Temática:</w:t>
            </w:r>
          </w:p>
        </w:tc>
        <w:tc>
          <w:tcPr>
            <w:tcW w:w="6465" w:type="dxa"/>
            <w:gridSpan w:val="2"/>
            <w:shd w:val="clear" w:color="auto" w:fill="D9D9D9" w:themeFill="background1" w:themeFillShade="D9"/>
          </w:tcPr>
          <w:p w:rsidR="002F340C" w:rsidRPr="005570AB" w:rsidRDefault="002F340C" w:rsidP="00245C9C">
            <w:pPr>
              <w:spacing w:after="100"/>
              <w:rPr>
                <w:rFonts w:ascii="Times New Roman" w:eastAsia="Times New Roman" w:hAnsi="Times New Roman" w:cs="Times New Roman"/>
                <w:bCs/>
                <w:color w:val="000000"/>
                <w:sz w:val="24"/>
                <w:szCs w:val="24"/>
                <w:lang w:eastAsia="es-CR"/>
              </w:rPr>
            </w:pPr>
            <w:r w:rsidRPr="002A4DF1">
              <w:rPr>
                <w:rFonts w:ascii="Times New Roman" w:eastAsia="Times New Roman" w:hAnsi="Times New Roman" w:cs="Times New Roman"/>
                <w:bCs/>
                <w:color w:val="000000"/>
                <w:sz w:val="24"/>
                <w:szCs w:val="24"/>
                <w:lang w:eastAsia="es-CR"/>
              </w:rPr>
              <w:t>Libertad de expresión y prensa</w:t>
            </w:r>
          </w:p>
        </w:tc>
      </w:tr>
      <w:tr w:rsidR="002F340C" w:rsidRPr="005570AB" w:rsidTr="00245C9C">
        <w:tc>
          <w:tcPr>
            <w:tcW w:w="2523" w:type="dxa"/>
          </w:tcPr>
          <w:p w:rsidR="002F340C" w:rsidRPr="005570AB" w:rsidRDefault="002F340C" w:rsidP="00245C9C">
            <w:pPr>
              <w:spacing w:after="100"/>
              <w:rPr>
                <w:rFonts w:ascii="Times New Roman" w:eastAsia="Times New Roman" w:hAnsi="Times New Roman" w:cs="Times New Roman"/>
                <w:bCs/>
                <w:color w:val="000000"/>
                <w:sz w:val="24"/>
                <w:szCs w:val="24"/>
                <w:lang w:eastAsia="es-CR"/>
              </w:rPr>
            </w:pPr>
            <w:r w:rsidRPr="005570AB">
              <w:rPr>
                <w:rFonts w:ascii="Times New Roman" w:eastAsia="Times New Roman" w:hAnsi="Times New Roman" w:cs="Times New Roman"/>
                <w:bCs/>
                <w:color w:val="000000"/>
                <w:sz w:val="24"/>
                <w:szCs w:val="24"/>
                <w:lang w:eastAsia="es-CR"/>
              </w:rPr>
              <w:t>Tipo de asunto:</w:t>
            </w:r>
          </w:p>
        </w:tc>
        <w:tc>
          <w:tcPr>
            <w:tcW w:w="6465" w:type="dxa"/>
            <w:gridSpan w:val="2"/>
          </w:tcPr>
          <w:p w:rsidR="002F340C" w:rsidRPr="005570AB" w:rsidRDefault="002F340C" w:rsidP="00245C9C">
            <w:pPr>
              <w:spacing w:after="100"/>
              <w:rPr>
                <w:rFonts w:ascii="Times New Roman" w:eastAsia="Times New Roman" w:hAnsi="Times New Roman" w:cs="Times New Roman"/>
                <w:bCs/>
                <w:color w:val="000000"/>
                <w:sz w:val="24"/>
                <w:szCs w:val="24"/>
                <w:lang w:eastAsia="es-CR"/>
              </w:rPr>
            </w:pPr>
            <w:r w:rsidRPr="005570AB">
              <w:rPr>
                <w:rFonts w:ascii="Times New Roman" w:eastAsia="Times New Roman" w:hAnsi="Times New Roman" w:cs="Times New Roman"/>
                <w:bCs/>
                <w:color w:val="000000"/>
                <w:sz w:val="24"/>
                <w:szCs w:val="24"/>
                <w:lang w:eastAsia="es-CR"/>
              </w:rPr>
              <w:t>Recurso de amparo</w:t>
            </w:r>
          </w:p>
        </w:tc>
      </w:tr>
      <w:tr w:rsidR="002F340C" w:rsidRPr="005570AB" w:rsidTr="00245C9C">
        <w:tc>
          <w:tcPr>
            <w:tcW w:w="2523" w:type="dxa"/>
          </w:tcPr>
          <w:p w:rsidR="002F340C" w:rsidRPr="005570AB" w:rsidRDefault="002F340C" w:rsidP="00245C9C">
            <w:pPr>
              <w:spacing w:after="100"/>
              <w:rPr>
                <w:rFonts w:ascii="Times New Roman" w:eastAsia="Times New Roman" w:hAnsi="Times New Roman" w:cs="Times New Roman"/>
                <w:bCs/>
                <w:color w:val="000000"/>
                <w:sz w:val="24"/>
                <w:szCs w:val="24"/>
                <w:lang w:eastAsia="es-CR"/>
              </w:rPr>
            </w:pPr>
            <w:r w:rsidRPr="005570AB">
              <w:rPr>
                <w:rFonts w:ascii="Times New Roman" w:eastAsia="Times New Roman" w:hAnsi="Times New Roman" w:cs="Times New Roman"/>
                <w:bCs/>
                <w:color w:val="000000"/>
                <w:sz w:val="24"/>
                <w:szCs w:val="24"/>
                <w:lang w:eastAsia="es-CR"/>
              </w:rPr>
              <w:t xml:space="preserve">Resumen: </w:t>
            </w:r>
          </w:p>
        </w:tc>
        <w:tc>
          <w:tcPr>
            <w:tcW w:w="6465" w:type="dxa"/>
            <w:gridSpan w:val="2"/>
          </w:tcPr>
          <w:p w:rsidR="002F340C" w:rsidRPr="005570AB" w:rsidRDefault="002F340C" w:rsidP="00CB7F8B">
            <w:pPr>
              <w:spacing w:after="100"/>
              <w:rPr>
                <w:rFonts w:ascii="Times New Roman" w:eastAsia="Times New Roman" w:hAnsi="Times New Roman" w:cs="Times New Roman"/>
                <w:bCs/>
                <w:color w:val="000000"/>
                <w:sz w:val="24"/>
                <w:szCs w:val="24"/>
                <w:lang w:eastAsia="es-CR"/>
              </w:rPr>
            </w:pPr>
            <w:r>
              <w:rPr>
                <w:rFonts w:ascii="Times New Roman" w:eastAsia="Times New Roman" w:hAnsi="Times New Roman" w:cs="Times New Roman"/>
                <w:color w:val="000000"/>
                <w:sz w:val="24"/>
                <w:szCs w:val="24"/>
                <w:lang w:eastAsia="es-CR"/>
              </w:rPr>
              <w:t>P</w:t>
            </w:r>
            <w:r w:rsidRPr="00A912DD">
              <w:rPr>
                <w:rFonts w:ascii="Times New Roman" w:eastAsia="Times New Roman" w:hAnsi="Times New Roman" w:cs="Times New Roman"/>
                <w:color w:val="000000"/>
                <w:sz w:val="24"/>
                <w:szCs w:val="24"/>
                <w:lang w:eastAsia="es-CR"/>
              </w:rPr>
              <w:t xml:space="preserve">olicía no permite a camarógrafa y divulgadora independiente, </w:t>
            </w:r>
            <w:r w:rsidR="00CB7F8B">
              <w:rPr>
                <w:rFonts w:ascii="Times New Roman" w:eastAsia="Times New Roman" w:hAnsi="Times New Roman" w:cs="Times New Roman"/>
                <w:color w:val="000000"/>
                <w:sz w:val="24"/>
                <w:szCs w:val="24"/>
                <w:lang w:eastAsia="es-CR"/>
              </w:rPr>
              <w:t xml:space="preserve">realizar </w:t>
            </w:r>
            <w:r w:rsidRPr="00A912DD">
              <w:rPr>
                <w:rFonts w:ascii="Times New Roman" w:eastAsia="Times New Roman" w:hAnsi="Times New Roman" w:cs="Times New Roman"/>
                <w:color w:val="000000"/>
                <w:sz w:val="24"/>
                <w:szCs w:val="24"/>
                <w:lang w:eastAsia="es-CR"/>
              </w:rPr>
              <w:t xml:space="preserve">vídeos y fotografías cuando se tomó la embajada de </w:t>
            </w:r>
            <w:r>
              <w:rPr>
                <w:rFonts w:ascii="Times New Roman" w:eastAsia="Times New Roman" w:hAnsi="Times New Roman" w:cs="Times New Roman"/>
                <w:color w:val="000000"/>
                <w:sz w:val="24"/>
                <w:szCs w:val="24"/>
                <w:lang w:eastAsia="es-CR"/>
              </w:rPr>
              <w:t>V</w:t>
            </w:r>
            <w:r w:rsidRPr="00A912DD">
              <w:rPr>
                <w:rFonts w:ascii="Times New Roman" w:eastAsia="Times New Roman" w:hAnsi="Times New Roman" w:cs="Times New Roman"/>
                <w:color w:val="000000"/>
                <w:sz w:val="24"/>
                <w:szCs w:val="24"/>
                <w:lang w:eastAsia="es-CR"/>
              </w:rPr>
              <w:t xml:space="preserve">enezuela. </w:t>
            </w:r>
            <w:r w:rsidR="00E3713A">
              <w:rPr>
                <w:rFonts w:ascii="Times New Roman" w:eastAsia="Times New Roman" w:hAnsi="Times New Roman" w:cs="Times New Roman"/>
                <w:color w:val="000000"/>
                <w:sz w:val="24"/>
                <w:szCs w:val="24"/>
                <w:lang w:eastAsia="es-CR"/>
              </w:rPr>
              <w:t>A</w:t>
            </w:r>
            <w:r w:rsidRPr="00A912DD">
              <w:rPr>
                <w:rFonts w:ascii="Times New Roman" w:eastAsia="Times New Roman" w:hAnsi="Times New Roman" w:cs="Times New Roman"/>
                <w:color w:val="000000"/>
                <w:sz w:val="24"/>
                <w:szCs w:val="24"/>
                <w:lang w:eastAsia="es-CR"/>
              </w:rPr>
              <w:t>lcances de la libertad de expresión e información. </w:t>
            </w:r>
            <w:r>
              <w:rPr>
                <w:rFonts w:ascii="Times New Roman" w:eastAsia="Times New Roman" w:hAnsi="Times New Roman" w:cs="Times New Roman"/>
                <w:color w:val="000000"/>
                <w:sz w:val="24"/>
                <w:szCs w:val="24"/>
                <w:u w:val="single"/>
                <w:lang w:eastAsia="es-CR"/>
              </w:rPr>
              <w:t>S</w:t>
            </w:r>
            <w:r w:rsidRPr="00A912DD">
              <w:rPr>
                <w:rFonts w:ascii="Times New Roman" w:eastAsia="Times New Roman" w:hAnsi="Times New Roman" w:cs="Times New Roman"/>
                <w:color w:val="000000"/>
                <w:sz w:val="24"/>
                <w:szCs w:val="24"/>
                <w:u w:val="single"/>
                <w:lang w:eastAsia="es-CR"/>
              </w:rPr>
              <w:t>e declara con lugar.</w:t>
            </w:r>
          </w:p>
        </w:tc>
      </w:tr>
      <w:tr w:rsidR="002F340C" w:rsidRPr="005570AB" w:rsidTr="00245C9C">
        <w:tc>
          <w:tcPr>
            <w:tcW w:w="2523" w:type="dxa"/>
            <w:shd w:val="clear" w:color="auto" w:fill="C6D9F1" w:themeFill="text2" w:themeFillTint="33"/>
          </w:tcPr>
          <w:p w:rsidR="002F340C" w:rsidRPr="005570AB" w:rsidRDefault="002F340C" w:rsidP="00245C9C">
            <w:pPr>
              <w:spacing w:after="100"/>
              <w:rPr>
                <w:rFonts w:ascii="Times New Roman" w:eastAsia="Times New Roman" w:hAnsi="Times New Roman" w:cs="Times New Roman"/>
                <w:bCs/>
                <w:color w:val="000000"/>
                <w:sz w:val="24"/>
                <w:szCs w:val="24"/>
                <w:lang w:eastAsia="es-CR"/>
              </w:rPr>
            </w:pPr>
            <w:r w:rsidRPr="005570AB">
              <w:rPr>
                <w:rFonts w:ascii="Times New Roman" w:eastAsia="Times New Roman" w:hAnsi="Times New Roman" w:cs="Times New Roman"/>
                <w:bCs/>
                <w:color w:val="000000"/>
                <w:sz w:val="24"/>
                <w:szCs w:val="24"/>
                <w:lang w:eastAsia="es-CR"/>
              </w:rPr>
              <w:t>Número de sentencia</w:t>
            </w:r>
          </w:p>
        </w:tc>
        <w:tc>
          <w:tcPr>
            <w:tcW w:w="6465" w:type="dxa"/>
            <w:gridSpan w:val="2"/>
            <w:shd w:val="clear" w:color="auto" w:fill="C6D9F1" w:themeFill="text2" w:themeFillTint="33"/>
          </w:tcPr>
          <w:p w:rsidR="002F340C" w:rsidRPr="005570AB" w:rsidRDefault="00CB7F8B" w:rsidP="00245C9C">
            <w:pPr>
              <w:spacing w:after="100"/>
              <w:rPr>
                <w:rFonts w:ascii="Times New Roman" w:eastAsia="Times New Roman" w:hAnsi="Times New Roman" w:cs="Times New Roman"/>
                <w:bCs/>
                <w:color w:val="000000"/>
                <w:sz w:val="24"/>
                <w:szCs w:val="24"/>
                <w:lang w:eastAsia="es-CR"/>
              </w:rPr>
            </w:pPr>
            <w:r>
              <w:rPr>
                <w:rFonts w:ascii="Times New Roman" w:eastAsia="Times New Roman" w:hAnsi="Times New Roman" w:cs="Times New Roman"/>
                <w:color w:val="000000"/>
                <w:sz w:val="24"/>
                <w:szCs w:val="24"/>
                <w:lang w:eastAsia="es-CR"/>
              </w:rPr>
              <w:t>2019-</w:t>
            </w:r>
            <w:r w:rsidR="002F340C" w:rsidRPr="00A912DD">
              <w:rPr>
                <w:rFonts w:ascii="Times New Roman" w:eastAsia="Times New Roman" w:hAnsi="Times New Roman" w:cs="Times New Roman"/>
                <w:color w:val="000000"/>
                <w:sz w:val="24"/>
                <w:szCs w:val="24"/>
                <w:lang w:eastAsia="es-CR"/>
              </w:rPr>
              <w:t>007474</w:t>
            </w:r>
          </w:p>
        </w:tc>
      </w:tr>
      <w:tr w:rsidR="002F340C" w:rsidRPr="005570AB" w:rsidTr="00245C9C">
        <w:tc>
          <w:tcPr>
            <w:tcW w:w="2523" w:type="dxa"/>
          </w:tcPr>
          <w:p w:rsidR="002F340C" w:rsidRPr="005570AB" w:rsidRDefault="002F340C" w:rsidP="00245C9C">
            <w:pPr>
              <w:spacing w:after="100"/>
              <w:rPr>
                <w:rFonts w:ascii="Times New Roman" w:eastAsia="Times New Roman" w:hAnsi="Times New Roman" w:cs="Times New Roman"/>
                <w:bCs/>
                <w:color w:val="000000"/>
                <w:sz w:val="24"/>
                <w:szCs w:val="24"/>
                <w:lang w:eastAsia="es-CR"/>
              </w:rPr>
            </w:pPr>
            <w:r w:rsidRPr="005570AB">
              <w:rPr>
                <w:rFonts w:ascii="Times New Roman" w:eastAsia="Times New Roman" w:hAnsi="Times New Roman" w:cs="Times New Roman"/>
                <w:bCs/>
                <w:color w:val="000000"/>
                <w:sz w:val="24"/>
                <w:szCs w:val="24"/>
                <w:lang w:eastAsia="es-CR"/>
              </w:rPr>
              <w:t>Fecha de resolución:</w:t>
            </w:r>
          </w:p>
        </w:tc>
        <w:tc>
          <w:tcPr>
            <w:tcW w:w="6465" w:type="dxa"/>
            <w:gridSpan w:val="2"/>
          </w:tcPr>
          <w:p w:rsidR="002F340C" w:rsidRPr="005570AB" w:rsidRDefault="002F340C" w:rsidP="00245C9C">
            <w:pPr>
              <w:spacing w:after="100"/>
              <w:rPr>
                <w:rFonts w:ascii="Times New Roman" w:eastAsia="Times New Roman" w:hAnsi="Times New Roman" w:cs="Times New Roman"/>
                <w:bCs/>
                <w:color w:val="000000"/>
                <w:sz w:val="24"/>
                <w:szCs w:val="24"/>
                <w:lang w:eastAsia="es-CR"/>
              </w:rPr>
            </w:pPr>
            <w:r>
              <w:rPr>
                <w:rFonts w:ascii="Times New Roman" w:eastAsia="Times New Roman" w:hAnsi="Times New Roman" w:cs="Times New Roman"/>
                <w:color w:val="000000"/>
                <w:sz w:val="24"/>
                <w:szCs w:val="24"/>
                <w:lang w:eastAsia="es-CR"/>
              </w:rPr>
              <w:t>9:30 a.m.</w:t>
            </w:r>
            <w:r w:rsidRPr="008F36C3">
              <w:rPr>
                <w:rFonts w:ascii="Times New Roman" w:eastAsia="Times New Roman" w:hAnsi="Times New Roman" w:cs="Times New Roman"/>
                <w:color w:val="000000"/>
                <w:sz w:val="24"/>
                <w:szCs w:val="24"/>
                <w:lang w:eastAsia="es-CR"/>
              </w:rPr>
              <w:t xml:space="preserve"> del </w:t>
            </w:r>
            <w:r>
              <w:rPr>
                <w:rFonts w:ascii="Times New Roman" w:eastAsia="Times New Roman" w:hAnsi="Times New Roman" w:cs="Times New Roman"/>
                <w:color w:val="000000"/>
                <w:sz w:val="24"/>
                <w:szCs w:val="24"/>
                <w:lang w:eastAsia="es-CR"/>
              </w:rPr>
              <w:t xml:space="preserve">30 </w:t>
            </w:r>
            <w:r w:rsidRPr="008F36C3">
              <w:rPr>
                <w:rFonts w:ascii="Times New Roman" w:eastAsia="Times New Roman" w:hAnsi="Times New Roman" w:cs="Times New Roman"/>
                <w:color w:val="000000"/>
                <w:sz w:val="24"/>
                <w:szCs w:val="24"/>
                <w:lang w:eastAsia="es-CR"/>
              </w:rPr>
              <w:t>de abril</w:t>
            </w:r>
            <w:r>
              <w:rPr>
                <w:rFonts w:ascii="Times New Roman" w:eastAsia="Times New Roman" w:hAnsi="Times New Roman" w:cs="Times New Roman"/>
                <w:color w:val="000000"/>
                <w:sz w:val="24"/>
                <w:szCs w:val="24"/>
                <w:lang w:eastAsia="es-CR"/>
              </w:rPr>
              <w:t>,</w:t>
            </w:r>
            <w:r w:rsidRPr="008F36C3">
              <w:rPr>
                <w:rFonts w:ascii="Times New Roman" w:eastAsia="Times New Roman" w:hAnsi="Times New Roman" w:cs="Times New Roman"/>
                <w:color w:val="000000"/>
                <w:sz w:val="24"/>
                <w:szCs w:val="24"/>
                <w:lang w:eastAsia="es-CR"/>
              </w:rPr>
              <w:t xml:space="preserve"> </w:t>
            </w:r>
            <w:r w:rsidRPr="00A912DD">
              <w:rPr>
                <w:rFonts w:ascii="Times New Roman" w:eastAsia="Times New Roman" w:hAnsi="Times New Roman" w:cs="Times New Roman"/>
                <w:color w:val="000000"/>
                <w:sz w:val="24"/>
                <w:szCs w:val="24"/>
                <w:lang w:eastAsia="es-CR"/>
              </w:rPr>
              <w:t>2019</w:t>
            </w:r>
          </w:p>
        </w:tc>
      </w:tr>
      <w:tr w:rsidR="002F340C" w:rsidRPr="005570AB" w:rsidTr="00245C9C">
        <w:tc>
          <w:tcPr>
            <w:tcW w:w="2523" w:type="dxa"/>
            <w:shd w:val="clear" w:color="auto" w:fill="D9D9D9" w:themeFill="background1" w:themeFillShade="D9"/>
          </w:tcPr>
          <w:p w:rsidR="002F340C" w:rsidRPr="005570AB" w:rsidRDefault="002F340C" w:rsidP="00245C9C">
            <w:pPr>
              <w:spacing w:after="100"/>
              <w:rPr>
                <w:rFonts w:ascii="Times New Roman" w:eastAsia="Times New Roman" w:hAnsi="Times New Roman" w:cs="Times New Roman"/>
                <w:bCs/>
                <w:color w:val="000000"/>
                <w:sz w:val="24"/>
                <w:szCs w:val="24"/>
                <w:lang w:eastAsia="es-CR"/>
              </w:rPr>
            </w:pPr>
            <w:r w:rsidRPr="005570AB">
              <w:rPr>
                <w:rFonts w:ascii="Times New Roman" w:eastAsia="Times New Roman" w:hAnsi="Times New Roman" w:cs="Times New Roman"/>
                <w:bCs/>
                <w:color w:val="000000"/>
                <w:sz w:val="24"/>
                <w:szCs w:val="24"/>
                <w:lang w:eastAsia="es-CR"/>
              </w:rPr>
              <w:t>Temática:</w:t>
            </w:r>
          </w:p>
        </w:tc>
        <w:tc>
          <w:tcPr>
            <w:tcW w:w="6465" w:type="dxa"/>
            <w:gridSpan w:val="2"/>
            <w:shd w:val="clear" w:color="auto" w:fill="D9D9D9" w:themeFill="background1" w:themeFillShade="D9"/>
          </w:tcPr>
          <w:p w:rsidR="002F340C" w:rsidRPr="005570AB" w:rsidRDefault="002F340C" w:rsidP="00245C9C">
            <w:pPr>
              <w:spacing w:after="100"/>
              <w:rPr>
                <w:rFonts w:ascii="Times New Roman" w:eastAsia="Times New Roman" w:hAnsi="Times New Roman" w:cs="Times New Roman"/>
                <w:bCs/>
                <w:color w:val="000000"/>
                <w:sz w:val="24"/>
                <w:szCs w:val="24"/>
                <w:lang w:eastAsia="es-CR"/>
              </w:rPr>
            </w:pPr>
            <w:r>
              <w:rPr>
                <w:rFonts w:ascii="Times New Roman" w:eastAsia="Times New Roman" w:hAnsi="Times New Roman" w:cs="Times New Roman"/>
                <w:bCs/>
                <w:color w:val="000000"/>
                <w:sz w:val="24"/>
                <w:szCs w:val="24"/>
                <w:lang w:eastAsia="es-CR"/>
              </w:rPr>
              <w:t>Trabajo</w:t>
            </w:r>
          </w:p>
        </w:tc>
      </w:tr>
      <w:tr w:rsidR="002F340C" w:rsidRPr="005570AB" w:rsidTr="00245C9C">
        <w:tc>
          <w:tcPr>
            <w:tcW w:w="2523" w:type="dxa"/>
          </w:tcPr>
          <w:p w:rsidR="002F340C" w:rsidRPr="005570AB" w:rsidRDefault="002F340C" w:rsidP="00245C9C">
            <w:pPr>
              <w:spacing w:after="100"/>
              <w:rPr>
                <w:rFonts w:ascii="Times New Roman" w:eastAsia="Times New Roman" w:hAnsi="Times New Roman" w:cs="Times New Roman"/>
                <w:bCs/>
                <w:color w:val="000000"/>
                <w:sz w:val="24"/>
                <w:szCs w:val="24"/>
                <w:lang w:eastAsia="es-CR"/>
              </w:rPr>
            </w:pPr>
            <w:r w:rsidRPr="005570AB">
              <w:rPr>
                <w:rFonts w:ascii="Times New Roman" w:eastAsia="Times New Roman" w:hAnsi="Times New Roman" w:cs="Times New Roman"/>
                <w:bCs/>
                <w:color w:val="000000"/>
                <w:sz w:val="24"/>
                <w:szCs w:val="24"/>
                <w:lang w:eastAsia="es-CR"/>
              </w:rPr>
              <w:t>Tipo de asunto:</w:t>
            </w:r>
          </w:p>
        </w:tc>
        <w:tc>
          <w:tcPr>
            <w:tcW w:w="6465" w:type="dxa"/>
            <w:gridSpan w:val="2"/>
          </w:tcPr>
          <w:p w:rsidR="002F340C" w:rsidRPr="005570AB" w:rsidRDefault="002F340C" w:rsidP="00245C9C">
            <w:pPr>
              <w:spacing w:after="100"/>
              <w:rPr>
                <w:rFonts w:ascii="Times New Roman" w:eastAsia="Times New Roman" w:hAnsi="Times New Roman" w:cs="Times New Roman"/>
                <w:bCs/>
                <w:color w:val="000000"/>
                <w:sz w:val="24"/>
                <w:szCs w:val="24"/>
                <w:lang w:eastAsia="es-CR"/>
              </w:rPr>
            </w:pPr>
            <w:r w:rsidRPr="005570AB">
              <w:rPr>
                <w:rFonts w:ascii="Times New Roman" w:eastAsia="Times New Roman" w:hAnsi="Times New Roman" w:cs="Times New Roman"/>
                <w:bCs/>
                <w:color w:val="000000"/>
                <w:sz w:val="24"/>
                <w:szCs w:val="24"/>
                <w:lang w:eastAsia="es-CR"/>
              </w:rPr>
              <w:t>Recurso de amparo</w:t>
            </w:r>
          </w:p>
        </w:tc>
      </w:tr>
      <w:tr w:rsidR="002F340C" w:rsidRPr="005570AB" w:rsidTr="00245C9C">
        <w:tc>
          <w:tcPr>
            <w:tcW w:w="2523" w:type="dxa"/>
          </w:tcPr>
          <w:p w:rsidR="002F340C" w:rsidRPr="005570AB" w:rsidRDefault="002F340C" w:rsidP="00245C9C">
            <w:pPr>
              <w:spacing w:after="100"/>
              <w:rPr>
                <w:rFonts w:ascii="Times New Roman" w:eastAsia="Times New Roman" w:hAnsi="Times New Roman" w:cs="Times New Roman"/>
                <w:bCs/>
                <w:color w:val="000000"/>
                <w:sz w:val="24"/>
                <w:szCs w:val="24"/>
                <w:lang w:eastAsia="es-CR"/>
              </w:rPr>
            </w:pPr>
            <w:r w:rsidRPr="005570AB">
              <w:rPr>
                <w:rFonts w:ascii="Times New Roman" w:eastAsia="Times New Roman" w:hAnsi="Times New Roman" w:cs="Times New Roman"/>
                <w:bCs/>
                <w:color w:val="000000"/>
                <w:sz w:val="24"/>
                <w:szCs w:val="24"/>
                <w:lang w:eastAsia="es-CR"/>
              </w:rPr>
              <w:lastRenderedPageBreak/>
              <w:t xml:space="preserve">Resumen: </w:t>
            </w:r>
          </w:p>
        </w:tc>
        <w:tc>
          <w:tcPr>
            <w:tcW w:w="6465" w:type="dxa"/>
            <w:gridSpan w:val="2"/>
          </w:tcPr>
          <w:p w:rsidR="002F340C" w:rsidRPr="005570AB" w:rsidRDefault="002F340C" w:rsidP="00245C9C">
            <w:pPr>
              <w:spacing w:after="100"/>
              <w:rPr>
                <w:rFonts w:ascii="Times New Roman" w:eastAsia="Times New Roman" w:hAnsi="Times New Roman" w:cs="Times New Roman"/>
                <w:bCs/>
                <w:color w:val="000000"/>
                <w:sz w:val="24"/>
                <w:szCs w:val="24"/>
                <w:lang w:eastAsia="es-CR"/>
              </w:rPr>
            </w:pPr>
            <w:r>
              <w:rPr>
                <w:rFonts w:ascii="Times New Roman" w:eastAsia="Times New Roman" w:hAnsi="Times New Roman" w:cs="Times New Roman"/>
                <w:bCs/>
                <w:color w:val="000000"/>
                <w:sz w:val="24"/>
                <w:szCs w:val="24"/>
                <w:lang w:eastAsia="es-CR"/>
              </w:rPr>
              <w:t>E</w:t>
            </w:r>
            <w:r w:rsidRPr="001D4263">
              <w:rPr>
                <w:rFonts w:ascii="Times New Roman" w:eastAsia="Times New Roman" w:hAnsi="Times New Roman" w:cs="Times New Roman"/>
                <w:bCs/>
                <w:color w:val="000000"/>
                <w:sz w:val="24"/>
                <w:szCs w:val="24"/>
                <w:lang w:eastAsia="es-CR"/>
              </w:rPr>
              <w:t>n los casos de traslados por excepción por razones de salud, para cobijar el interés superior del menor o para una persona en estado de vulnerabilidad, bajo una mejor ponderación, se envían a la jurisdicción contenciosa administrativa.</w:t>
            </w:r>
          </w:p>
        </w:tc>
      </w:tr>
      <w:tr w:rsidR="002F340C" w:rsidRPr="005570AB" w:rsidTr="00245C9C">
        <w:tc>
          <w:tcPr>
            <w:tcW w:w="2523" w:type="dxa"/>
            <w:shd w:val="clear" w:color="auto" w:fill="C6D9F1" w:themeFill="text2" w:themeFillTint="33"/>
          </w:tcPr>
          <w:p w:rsidR="002F340C" w:rsidRPr="005570AB" w:rsidRDefault="002F340C" w:rsidP="00245C9C">
            <w:pPr>
              <w:spacing w:after="100"/>
              <w:rPr>
                <w:rFonts w:ascii="Times New Roman" w:eastAsia="Times New Roman" w:hAnsi="Times New Roman" w:cs="Times New Roman"/>
                <w:bCs/>
                <w:color w:val="000000"/>
                <w:sz w:val="24"/>
                <w:szCs w:val="24"/>
                <w:lang w:eastAsia="es-CR"/>
              </w:rPr>
            </w:pPr>
            <w:r w:rsidRPr="005570AB">
              <w:rPr>
                <w:rFonts w:ascii="Times New Roman" w:eastAsia="Times New Roman" w:hAnsi="Times New Roman" w:cs="Times New Roman"/>
                <w:bCs/>
                <w:color w:val="000000"/>
                <w:sz w:val="24"/>
                <w:szCs w:val="24"/>
                <w:lang w:eastAsia="es-CR"/>
              </w:rPr>
              <w:t>Número de sentencia</w:t>
            </w:r>
          </w:p>
        </w:tc>
        <w:tc>
          <w:tcPr>
            <w:tcW w:w="6465" w:type="dxa"/>
            <w:gridSpan w:val="2"/>
            <w:shd w:val="clear" w:color="auto" w:fill="C6D9F1" w:themeFill="text2" w:themeFillTint="33"/>
          </w:tcPr>
          <w:p w:rsidR="002F340C" w:rsidRPr="005570AB" w:rsidRDefault="002F340C" w:rsidP="00245C9C">
            <w:pPr>
              <w:spacing w:after="100"/>
              <w:rPr>
                <w:rFonts w:ascii="Times New Roman" w:eastAsia="Times New Roman" w:hAnsi="Times New Roman" w:cs="Times New Roman"/>
                <w:bCs/>
                <w:color w:val="000000"/>
                <w:sz w:val="24"/>
                <w:szCs w:val="24"/>
                <w:lang w:eastAsia="es-CR"/>
              </w:rPr>
            </w:pPr>
            <w:r w:rsidRPr="001D4263">
              <w:rPr>
                <w:rFonts w:ascii="Times New Roman" w:eastAsia="Times New Roman" w:hAnsi="Times New Roman" w:cs="Times New Roman"/>
                <w:color w:val="000000"/>
                <w:sz w:val="24"/>
                <w:szCs w:val="24"/>
                <w:lang w:eastAsia="es-CR"/>
              </w:rPr>
              <w:t>2019-</w:t>
            </w:r>
            <w:r w:rsidR="00CB7F8B">
              <w:rPr>
                <w:rFonts w:ascii="Times New Roman" w:eastAsia="Times New Roman" w:hAnsi="Times New Roman" w:cs="Times New Roman"/>
                <w:color w:val="000000"/>
                <w:sz w:val="24"/>
                <w:szCs w:val="24"/>
                <w:lang w:eastAsia="es-CR"/>
              </w:rPr>
              <w:t>00</w:t>
            </w:r>
            <w:r w:rsidRPr="001D4263">
              <w:rPr>
                <w:rFonts w:ascii="Times New Roman" w:eastAsia="Times New Roman" w:hAnsi="Times New Roman" w:cs="Times New Roman"/>
                <w:color w:val="000000"/>
                <w:sz w:val="24"/>
                <w:szCs w:val="24"/>
                <w:lang w:eastAsia="es-CR"/>
              </w:rPr>
              <w:t>5956</w:t>
            </w:r>
          </w:p>
        </w:tc>
      </w:tr>
      <w:tr w:rsidR="002F340C" w:rsidRPr="005570AB" w:rsidTr="00245C9C">
        <w:tc>
          <w:tcPr>
            <w:tcW w:w="2523" w:type="dxa"/>
          </w:tcPr>
          <w:p w:rsidR="002F340C" w:rsidRPr="005570AB" w:rsidRDefault="002F340C" w:rsidP="00245C9C">
            <w:pPr>
              <w:spacing w:after="100"/>
              <w:rPr>
                <w:rFonts w:ascii="Times New Roman" w:eastAsia="Times New Roman" w:hAnsi="Times New Roman" w:cs="Times New Roman"/>
                <w:bCs/>
                <w:color w:val="000000"/>
                <w:sz w:val="24"/>
                <w:szCs w:val="24"/>
                <w:lang w:eastAsia="es-CR"/>
              </w:rPr>
            </w:pPr>
            <w:r w:rsidRPr="005570AB">
              <w:rPr>
                <w:rFonts w:ascii="Times New Roman" w:eastAsia="Times New Roman" w:hAnsi="Times New Roman" w:cs="Times New Roman"/>
                <w:bCs/>
                <w:color w:val="000000"/>
                <w:sz w:val="24"/>
                <w:szCs w:val="24"/>
                <w:lang w:eastAsia="es-CR"/>
              </w:rPr>
              <w:t>Fecha de resolución:</w:t>
            </w:r>
          </w:p>
        </w:tc>
        <w:tc>
          <w:tcPr>
            <w:tcW w:w="6465" w:type="dxa"/>
            <w:gridSpan w:val="2"/>
          </w:tcPr>
          <w:p w:rsidR="002F340C" w:rsidRPr="005570AB" w:rsidRDefault="002F340C" w:rsidP="00245C9C">
            <w:pPr>
              <w:spacing w:after="100"/>
              <w:rPr>
                <w:rFonts w:ascii="Times New Roman" w:eastAsia="Times New Roman" w:hAnsi="Times New Roman" w:cs="Times New Roman"/>
                <w:bCs/>
                <w:color w:val="000000"/>
                <w:sz w:val="24"/>
                <w:szCs w:val="24"/>
                <w:lang w:eastAsia="es-CR"/>
              </w:rPr>
            </w:pPr>
            <w:r w:rsidRPr="001D4263">
              <w:rPr>
                <w:rFonts w:ascii="Times New Roman" w:eastAsia="Times New Roman" w:hAnsi="Times New Roman" w:cs="Times New Roman"/>
                <w:color w:val="000000"/>
                <w:sz w:val="24"/>
                <w:szCs w:val="24"/>
                <w:lang w:eastAsia="es-CR"/>
              </w:rPr>
              <w:t>9:40 a.m. del 2 de abril, 2019.</w:t>
            </w:r>
          </w:p>
        </w:tc>
      </w:tr>
      <w:tr w:rsidR="002F340C" w:rsidRPr="005570AB" w:rsidTr="00245C9C">
        <w:tc>
          <w:tcPr>
            <w:tcW w:w="2523" w:type="dxa"/>
            <w:shd w:val="clear" w:color="auto" w:fill="D9D9D9" w:themeFill="background1" w:themeFillShade="D9"/>
          </w:tcPr>
          <w:p w:rsidR="002F340C" w:rsidRPr="005570AB" w:rsidRDefault="002F340C" w:rsidP="00245C9C">
            <w:pPr>
              <w:spacing w:after="100"/>
              <w:rPr>
                <w:rFonts w:ascii="Times New Roman" w:eastAsia="Times New Roman" w:hAnsi="Times New Roman" w:cs="Times New Roman"/>
                <w:bCs/>
                <w:color w:val="000000"/>
                <w:sz w:val="24"/>
                <w:szCs w:val="24"/>
                <w:lang w:eastAsia="es-CR"/>
              </w:rPr>
            </w:pPr>
            <w:r w:rsidRPr="005570AB">
              <w:rPr>
                <w:rFonts w:ascii="Times New Roman" w:eastAsia="Times New Roman" w:hAnsi="Times New Roman" w:cs="Times New Roman"/>
                <w:bCs/>
                <w:color w:val="000000"/>
                <w:sz w:val="24"/>
                <w:szCs w:val="24"/>
                <w:lang w:eastAsia="es-CR"/>
              </w:rPr>
              <w:t>Temática:</w:t>
            </w:r>
          </w:p>
        </w:tc>
        <w:tc>
          <w:tcPr>
            <w:tcW w:w="6465" w:type="dxa"/>
            <w:gridSpan w:val="2"/>
            <w:shd w:val="clear" w:color="auto" w:fill="D9D9D9" w:themeFill="background1" w:themeFillShade="D9"/>
          </w:tcPr>
          <w:p w:rsidR="002F340C" w:rsidRPr="005570AB" w:rsidRDefault="002F340C" w:rsidP="00245C9C">
            <w:pPr>
              <w:spacing w:after="100"/>
              <w:rPr>
                <w:rFonts w:ascii="Times New Roman" w:eastAsia="Times New Roman" w:hAnsi="Times New Roman" w:cs="Times New Roman"/>
                <w:bCs/>
                <w:color w:val="000000"/>
                <w:sz w:val="24"/>
                <w:szCs w:val="24"/>
                <w:lang w:eastAsia="es-CR"/>
              </w:rPr>
            </w:pPr>
            <w:r>
              <w:rPr>
                <w:rFonts w:ascii="Times New Roman" w:eastAsia="Times New Roman" w:hAnsi="Times New Roman" w:cs="Times New Roman"/>
                <w:bCs/>
                <w:color w:val="000000"/>
                <w:sz w:val="24"/>
                <w:szCs w:val="24"/>
                <w:lang w:eastAsia="es-CR"/>
              </w:rPr>
              <w:t>Educación</w:t>
            </w:r>
          </w:p>
        </w:tc>
      </w:tr>
      <w:tr w:rsidR="002F340C" w:rsidRPr="005570AB" w:rsidTr="00245C9C">
        <w:tc>
          <w:tcPr>
            <w:tcW w:w="2523" w:type="dxa"/>
          </w:tcPr>
          <w:p w:rsidR="002F340C" w:rsidRPr="005570AB" w:rsidRDefault="002F340C" w:rsidP="00245C9C">
            <w:pPr>
              <w:spacing w:after="100"/>
              <w:rPr>
                <w:rFonts w:ascii="Times New Roman" w:eastAsia="Times New Roman" w:hAnsi="Times New Roman" w:cs="Times New Roman"/>
                <w:bCs/>
                <w:color w:val="000000"/>
                <w:sz w:val="24"/>
                <w:szCs w:val="24"/>
                <w:lang w:eastAsia="es-CR"/>
              </w:rPr>
            </w:pPr>
            <w:r w:rsidRPr="005570AB">
              <w:rPr>
                <w:rFonts w:ascii="Times New Roman" w:eastAsia="Times New Roman" w:hAnsi="Times New Roman" w:cs="Times New Roman"/>
                <w:bCs/>
                <w:color w:val="000000"/>
                <w:sz w:val="24"/>
                <w:szCs w:val="24"/>
                <w:lang w:eastAsia="es-CR"/>
              </w:rPr>
              <w:t>Tipo de asunto:</w:t>
            </w:r>
          </w:p>
        </w:tc>
        <w:tc>
          <w:tcPr>
            <w:tcW w:w="6465" w:type="dxa"/>
            <w:gridSpan w:val="2"/>
          </w:tcPr>
          <w:p w:rsidR="002F340C" w:rsidRPr="005570AB" w:rsidRDefault="002F340C" w:rsidP="00245C9C">
            <w:pPr>
              <w:spacing w:after="100"/>
              <w:rPr>
                <w:rFonts w:ascii="Times New Roman" w:eastAsia="Times New Roman" w:hAnsi="Times New Roman" w:cs="Times New Roman"/>
                <w:bCs/>
                <w:color w:val="000000"/>
                <w:sz w:val="24"/>
                <w:szCs w:val="24"/>
                <w:lang w:eastAsia="es-CR"/>
              </w:rPr>
            </w:pPr>
            <w:r w:rsidRPr="005570AB">
              <w:rPr>
                <w:rFonts w:ascii="Times New Roman" w:eastAsia="Times New Roman" w:hAnsi="Times New Roman" w:cs="Times New Roman"/>
                <w:bCs/>
                <w:color w:val="000000"/>
                <w:sz w:val="24"/>
                <w:szCs w:val="24"/>
                <w:lang w:eastAsia="es-CR"/>
              </w:rPr>
              <w:t>Recurso de amparo</w:t>
            </w:r>
          </w:p>
        </w:tc>
      </w:tr>
      <w:tr w:rsidR="002F340C" w:rsidRPr="005570AB" w:rsidTr="00245C9C">
        <w:tc>
          <w:tcPr>
            <w:tcW w:w="2523" w:type="dxa"/>
          </w:tcPr>
          <w:p w:rsidR="002F340C" w:rsidRPr="005570AB" w:rsidRDefault="002F340C" w:rsidP="00245C9C">
            <w:pPr>
              <w:spacing w:after="100"/>
              <w:rPr>
                <w:rFonts w:ascii="Times New Roman" w:eastAsia="Times New Roman" w:hAnsi="Times New Roman" w:cs="Times New Roman"/>
                <w:bCs/>
                <w:color w:val="000000"/>
                <w:sz w:val="24"/>
                <w:szCs w:val="24"/>
                <w:lang w:eastAsia="es-CR"/>
              </w:rPr>
            </w:pPr>
            <w:r w:rsidRPr="005570AB">
              <w:rPr>
                <w:rFonts w:ascii="Times New Roman" w:eastAsia="Times New Roman" w:hAnsi="Times New Roman" w:cs="Times New Roman"/>
                <w:bCs/>
                <w:color w:val="000000"/>
                <w:sz w:val="24"/>
                <w:szCs w:val="24"/>
                <w:lang w:eastAsia="es-CR"/>
              </w:rPr>
              <w:t xml:space="preserve">Resumen: </w:t>
            </w:r>
          </w:p>
        </w:tc>
        <w:tc>
          <w:tcPr>
            <w:tcW w:w="6465" w:type="dxa"/>
            <w:gridSpan w:val="2"/>
          </w:tcPr>
          <w:p w:rsidR="002F340C" w:rsidRPr="005570AB" w:rsidRDefault="002F340C" w:rsidP="00245C9C">
            <w:pPr>
              <w:spacing w:after="100"/>
              <w:rPr>
                <w:rFonts w:ascii="Times New Roman" w:eastAsia="Times New Roman" w:hAnsi="Times New Roman" w:cs="Times New Roman"/>
                <w:bCs/>
                <w:color w:val="000000"/>
                <w:sz w:val="24"/>
                <w:szCs w:val="24"/>
                <w:lang w:eastAsia="es-CR"/>
              </w:rPr>
            </w:pPr>
            <w:r>
              <w:rPr>
                <w:rFonts w:ascii="Times New Roman" w:eastAsia="Times New Roman" w:hAnsi="Times New Roman" w:cs="Times New Roman"/>
                <w:bCs/>
                <w:color w:val="000000"/>
                <w:sz w:val="24"/>
                <w:szCs w:val="24"/>
                <w:lang w:eastAsia="es-CR"/>
              </w:rPr>
              <w:t xml:space="preserve">Se </w:t>
            </w:r>
            <w:r w:rsidRPr="001D4263">
              <w:rPr>
                <w:rFonts w:ascii="Times New Roman" w:eastAsia="Times New Roman" w:hAnsi="Times New Roman" w:cs="Times New Roman"/>
                <w:bCs/>
                <w:color w:val="000000"/>
                <w:sz w:val="24"/>
                <w:szCs w:val="24"/>
                <w:lang w:eastAsia="es-CR"/>
              </w:rPr>
              <w:t>ordena al Ministerio de Educación Pública (MEP) asignarle a la Escuela Neuropsiquiátrica Infantil, donde cursa estudios el menor</w:t>
            </w:r>
            <w:r>
              <w:rPr>
                <w:rFonts w:ascii="Times New Roman" w:eastAsia="Times New Roman" w:hAnsi="Times New Roman" w:cs="Times New Roman"/>
                <w:bCs/>
                <w:color w:val="000000"/>
                <w:sz w:val="24"/>
                <w:szCs w:val="24"/>
                <w:lang w:eastAsia="es-CR"/>
              </w:rPr>
              <w:t xml:space="preserve"> recurrente (quien presenta la condición de autismo)</w:t>
            </w:r>
            <w:r w:rsidRPr="001D4263">
              <w:rPr>
                <w:rFonts w:ascii="Times New Roman" w:eastAsia="Times New Roman" w:hAnsi="Times New Roman" w:cs="Times New Roman"/>
                <w:bCs/>
                <w:color w:val="000000"/>
                <w:sz w:val="24"/>
                <w:szCs w:val="24"/>
                <w:lang w:eastAsia="es-CR"/>
              </w:rPr>
              <w:t>, al  menos un asistente de aula más. También exige que se reubique al niño en un grupo con menos alumnos (actualmente está en uno de cinco estudiantes), esto con el fin de que se le brinde una mejor atención acorde a sus necesidades especiales.</w:t>
            </w:r>
          </w:p>
        </w:tc>
      </w:tr>
      <w:tr w:rsidR="002F340C" w:rsidRPr="005570AB" w:rsidTr="00245C9C">
        <w:tc>
          <w:tcPr>
            <w:tcW w:w="2523" w:type="dxa"/>
            <w:shd w:val="clear" w:color="auto" w:fill="C6D9F1" w:themeFill="text2" w:themeFillTint="33"/>
          </w:tcPr>
          <w:p w:rsidR="002F340C" w:rsidRPr="005570AB" w:rsidRDefault="002F340C" w:rsidP="00245C9C">
            <w:pPr>
              <w:spacing w:after="100"/>
              <w:rPr>
                <w:rFonts w:ascii="Times New Roman" w:eastAsia="Times New Roman" w:hAnsi="Times New Roman" w:cs="Times New Roman"/>
                <w:bCs/>
                <w:color w:val="000000"/>
                <w:sz w:val="24"/>
                <w:szCs w:val="24"/>
                <w:lang w:eastAsia="es-CR"/>
              </w:rPr>
            </w:pPr>
            <w:r w:rsidRPr="005570AB">
              <w:rPr>
                <w:rFonts w:ascii="Times New Roman" w:eastAsia="Times New Roman" w:hAnsi="Times New Roman" w:cs="Times New Roman"/>
                <w:bCs/>
                <w:color w:val="000000"/>
                <w:sz w:val="24"/>
                <w:szCs w:val="24"/>
                <w:lang w:eastAsia="es-CR"/>
              </w:rPr>
              <w:t>Número de sentencia</w:t>
            </w:r>
          </w:p>
        </w:tc>
        <w:tc>
          <w:tcPr>
            <w:tcW w:w="6465" w:type="dxa"/>
            <w:gridSpan w:val="2"/>
            <w:shd w:val="clear" w:color="auto" w:fill="C6D9F1" w:themeFill="text2" w:themeFillTint="33"/>
          </w:tcPr>
          <w:p w:rsidR="002F340C" w:rsidRPr="005570AB" w:rsidRDefault="002F340C" w:rsidP="00245C9C">
            <w:pPr>
              <w:spacing w:after="100"/>
              <w:rPr>
                <w:rFonts w:ascii="Times New Roman" w:eastAsia="Times New Roman" w:hAnsi="Times New Roman" w:cs="Times New Roman"/>
                <w:bCs/>
                <w:color w:val="000000"/>
                <w:sz w:val="24"/>
                <w:szCs w:val="24"/>
                <w:lang w:eastAsia="es-CR"/>
              </w:rPr>
            </w:pPr>
            <w:r w:rsidRPr="000E71B8">
              <w:rPr>
                <w:rFonts w:ascii="Times New Roman" w:eastAsia="Times New Roman" w:hAnsi="Times New Roman" w:cs="Times New Roman"/>
                <w:color w:val="000000"/>
                <w:sz w:val="24"/>
                <w:szCs w:val="24"/>
                <w:lang w:eastAsia="es-CR"/>
              </w:rPr>
              <w:t>2019-</w:t>
            </w:r>
            <w:r w:rsidR="00CB7F8B">
              <w:rPr>
                <w:rFonts w:ascii="Times New Roman" w:eastAsia="Times New Roman" w:hAnsi="Times New Roman" w:cs="Times New Roman"/>
                <w:color w:val="000000"/>
                <w:sz w:val="24"/>
                <w:szCs w:val="24"/>
                <w:lang w:eastAsia="es-CR"/>
              </w:rPr>
              <w:t>00</w:t>
            </w:r>
            <w:r w:rsidRPr="000E71B8">
              <w:rPr>
                <w:rFonts w:ascii="Times New Roman" w:eastAsia="Times New Roman" w:hAnsi="Times New Roman" w:cs="Times New Roman"/>
                <w:color w:val="000000"/>
                <w:sz w:val="24"/>
                <w:szCs w:val="24"/>
                <w:lang w:eastAsia="es-CR"/>
              </w:rPr>
              <w:t>7701</w:t>
            </w:r>
          </w:p>
        </w:tc>
      </w:tr>
      <w:tr w:rsidR="002F340C" w:rsidRPr="005570AB" w:rsidTr="00245C9C">
        <w:tc>
          <w:tcPr>
            <w:tcW w:w="2523" w:type="dxa"/>
          </w:tcPr>
          <w:p w:rsidR="002F340C" w:rsidRPr="005570AB" w:rsidRDefault="002F340C" w:rsidP="00245C9C">
            <w:pPr>
              <w:spacing w:after="100"/>
              <w:rPr>
                <w:rFonts w:ascii="Times New Roman" w:eastAsia="Times New Roman" w:hAnsi="Times New Roman" w:cs="Times New Roman"/>
                <w:bCs/>
                <w:color w:val="000000"/>
                <w:sz w:val="24"/>
                <w:szCs w:val="24"/>
                <w:lang w:eastAsia="es-CR"/>
              </w:rPr>
            </w:pPr>
            <w:r w:rsidRPr="005570AB">
              <w:rPr>
                <w:rFonts w:ascii="Times New Roman" w:eastAsia="Times New Roman" w:hAnsi="Times New Roman" w:cs="Times New Roman"/>
                <w:bCs/>
                <w:color w:val="000000"/>
                <w:sz w:val="24"/>
                <w:szCs w:val="24"/>
                <w:lang w:eastAsia="es-CR"/>
              </w:rPr>
              <w:t>Fecha de resolución:</w:t>
            </w:r>
          </w:p>
        </w:tc>
        <w:tc>
          <w:tcPr>
            <w:tcW w:w="6465" w:type="dxa"/>
            <w:gridSpan w:val="2"/>
          </w:tcPr>
          <w:p w:rsidR="002F340C" w:rsidRPr="005570AB" w:rsidRDefault="002F340C" w:rsidP="00245C9C">
            <w:pPr>
              <w:spacing w:after="100"/>
              <w:rPr>
                <w:rFonts w:ascii="Times New Roman" w:eastAsia="Times New Roman" w:hAnsi="Times New Roman" w:cs="Times New Roman"/>
                <w:bCs/>
                <w:color w:val="000000"/>
                <w:sz w:val="24"/>
                <w:szCs w:val="24"/>
                <w:lang w:eastAsia="es-CR"/>
              </w:rPr>
            </w:pPr>
            <w:r>
              <w:rPr>
                <w:rFonts w:ascii="Times New Roman" w:eastAsia="Times New Roman" w:hAnsi="Times New Roman" w:cs="Times New Roman"/>
                <w:color w:val="000000"/>
                <w:sz w:val="24"/>
                <w:szCs w:val="24"/>
                <w:lang w:eastAsia="es-CR"/>
              </w:rPr>
              <w:t xml:space="preserve">9:15 a.m. del </w:t>
            </w:r>
            <w:r w:rsidRPr="000E71B8">
              <w:rPr>
                <w:rFonts w:ascii="Times New Roman" w:eastAsia="Times New Roman" w:hAnsi="Times New Roman" w:cs="Times New Roman"/>
                <w:color w:val="000000"/>
                <w:sz w:val="24"/>
                <w:szCs w:val="24"/>
                <w:lang w:eastAsia="es-CR"/>
              </w:rPr>
              <w:t>3 de mayo, 2019.</w:t>
            </w:r>
          </w:p>
        </w:tc>
      </w:tr>
      <w:tr w:rsidR="002F340C" w:rsidRPr="005570AB" w:rsidTr="008F0223">
        <w:tc>
          <w:tcPr>
            <w:tcW w:w="2523" w:type="dxa"/>
            <w:shd w:val="clear" w:color="auto" w:fill="D9D9D9" w:themeFill="background1" w:themeFillShade="D9"/>
          </w:tcPr>
          <w:p w:rsidR="002F340C" w:rsidRPr="005570AB" w:rsidRDefault="002F340C" w:rsidP="00245C9C">
            <w:pPr>
              <w:spacing w:after="100"/>
              <w:rPr>
                <w:rFonts w:ascii="Times New Roman" w:eastAsia="Times New Roman" w:hAnsi="Times New Roman" w:cs="Times New Roman"/>
                <w:bCs/>
                <w:color w:val="000000"/>
                <w:sz w:val="24"/>
                <w:szCs w:val="24"/>
                <w:lang w:eastAsia="es-CR"/>
              </w:rPr>
            </w:pPr>
            <w:r w:rsidRPr="005570AB">
              <w:rPr>
                <w:rFonts w:ascii="Times New Roman" w:eastAsia="Times New Roman" w:hAnsi="Times New Roman" w:cs="Times New Roman"/>
                <w:bCs/>
                <w:color w:val="000000"/>
                <w:sz w:val="24"/>
                <w:szCs w:val="24"/>
                <w:lang w:eastAsia="es-CR"/>
              </w:rPr>
              <w:t>Temática:</w:t>
            </w:r>
          </w:p>
        </w:tc>
        <w:tc>
          <w:tcPr>
            <w:tcW w:w="6465" w:type="dxa"/>
            <w:gridSpan w:val="2"/>
            <w:shd w:val="clear" w:color="auto" w:fill="D9D9D9" w:themeFill="background1" w:themeFillShade="D9"/>
          </w:tcPr>
          <w:p w:rsidR="002F340C" w:rsidRPr="005570AB" w:rsidRDefault="002F340C" w:rsidP="00245C9C">
            <w:pPr>
              <w:spacing w:after="100"/>
              <w:rPr>
                <w:rFonts w:ascii="Times New Roman" w:eastAsia="Times New Roman" w:hAnsi="Times New Roman" w:cs="Times New Roman"/>
                <w:bCs/>
                <w:color w:val="000000"/>
                <w:sz w:val="24"/>
                <w:szCs w:val="24"/>
                <w:lang w:eastAsia="es-CR"/>
              </w:rPr>
            </w:pPr>
            <w:r>
              <w:rPr>
                <w:rFonts w:ascii="Times New Roman" w:eastAsia="Times New Roman" w:hAnsi="Times New Roman" w:cs="Times New Roman"/>
                <w:bCs/>
                <w:color w:val="000000"/>
                <w:sz w:val="24"/>
                <w:szCs w:val="24"/>
                <w:lang w:eastAsia="es-CR"/>
              </w:rPr>
              <w:t>Familia</w:t>
            </w:r>
          </w:p>
        </w:tc>
      </w:tr>
      <w:tr w:rsidR="002F340C" w:rsidRPr="005570AB" w:rsidTr="008F0223">
        <w:tc>
          <w:tcPr>
            <w:tcW w:w="2523" w:type="dxa"/>
            <w:shd w:val="clear" w:color="auto" w:fill="FFFFFF" w:themeFill="background1"/>
          </w:tcPr>
          <w:p w:rsidR="002F340C" w:rsidRPr="005570AB" w:rsidRDefault="002F340C" w:rsidP="00245C9C">
            <w:pPr>
              <w:spacing w:after="100"/>
              <w:rPr>
                <w:rFonts w:ascii="Times New Roman" w:eastAsia="Times New Roman" w:hAnsi="Times New Roman" w:cs="Times New Roman"/>
                <w:bCs/>
                <w:color w:val="000000"/>
                <w:sz w:val="24"/>
                <w:szCs w:val="24"/>
                <w:lang w:eastAsia="es-CR"/>
              </w:rPr>
            </w:pPr>
            <w:r w:rsidRPr="005570AB">
              <w:rPr>
                <w:rFonts w:ascii="Times New Roman" w:eastAsia="Times New Roman" w:hAnsi="Times New Roman" w:cs="Times New Roman"/>
                <w:bCs/>
                <w:color w:val="000000"/>
                <w:sz w:val="24"/>
                <w:szCs w:val="24"/>
                <w:lang w:eastAsia="es-CR"/>
              </w:rPr>
              <w:t>Tipo de asunto:</w:t>
            </w:r>
          </w:p>
        </w:tc>
        <w:tc>
          <w:tcPr>
            <w:tcW w:w="6465" w:type="dxa"/>
            <w:gridSpan w:val="2"/>
            <w:shd w:val="clear" w:color="auto" w:fill="FFFFFF" w:themeFill="background1"/>
          </w:tcPr>
          <w:p w:rsidR="002F340C" w:rsidRPr="005570AB" w:rsidRDefault="002F340C" w:rsidP="00245C9C">
            <w:pPr>
              <w:spacing w:after="100"/>
              <w:rPr>
                <w:rFonts w:ascii="Times New Roman" w:eastAsia="Times New Roman" w:hAnsi="Times New Roman" w:cs="Times New Roman"/>
                <w:bCs/>
                <w:color w:val="000000"/>
                <w:sz w:val="24"/>
                <w:szCs w:val="24"/>
                <w:lang w:eastAsia="es-CR"/>
              </w:rPr>
            </w:pPr>
            <w:r w:rsidRPr="005570AB">
              <w:rPr>
                <w:rFonts w:ascii="Times New Roman" w:eastAsia="Times New Roman" w:hAnsi="Times New Roman" w:cs="Times New Roman"/>
                <w:bCs/>
                <w:color w:val="000000"/>
                <w:sz w:val="24"/>
                <w:szCs w:val="24"/>
                <w:lang w:eastAsia="es-CR"/>
              </w:rPr>
              <w:t>Recurso de amparo</w:t>
            </w:r>
          </w:p>
        </w:tc>
      </w:tr>
      <w:tr w:rsidR="002F340C" w:rsidRPr="005570AB" w:rsidTr="00245C9C">
        <w:tc>
          <w:tcPr>
            <w:tcW w:w="2523" w:type="dxa"/>
          </w:tcPr>
          <w:p w:rsidR="002F340C" w:rsidRPr="005570AB" w:rsidRDefault="002F340C" w:rsidP="00245C9C">
            <w:pPr>
              <w:spacing w:after="100"/>
              <w:rPr>
                <w:rFonts w:ascii="Times New Roman" w:eastAsia="Times New Roman" w:hAnsi="Times New Roman" w:cs="Times New Roman"/>
                <w:bCs/>
                <w:color w:val="000000"/>
                <w:sz w:val="24"/>
                <w:szCs w:val="24"/>
                <w:lang w:eastAsia="es-CR"/>
              </w:rPr>
            </w:pPr>
            <w:r w:rsidRPr="005570AB">
              <w:rPr>
                <w:rFonts w:ascii="Times New Roman" w:eastAsia="Times New Roman" w:hAnsi="Times New Roman" w:cs="Times New Roman"/>
                <w:bCs/>
                <w:color w:val="000000"/>
                <w:sz w:val="24"/>
                <w:szCs w:val="24"/>
                <w:lang w:eastAsia="es-CR"/>
              </w:rPr>
              <w:t xml:space="preserve">Resumen: </w:t>
            </w:r>
          </w:p>
        </w:tc>
        <w:tc>
          <w:tcPr>
            <w:tcW w:w="6465" w:type="dxa"/>
            <w:gridSpan w:val="2"/>
          </w:tcPr>
          <w:p w:rsidR="002F340C" w:rsidRPr="005570AB" w:rsidRDefault="002F340C" w:rsidP="00245C9C">
            <w:pPr>
              <w:spacing w:after="100"/>
              <w:rPr>
                <w:rFonts w:ascii="Times New Roman" w:eastAsia="Times New Roman" w:hAnsi="Times New Roman" w:cs="Times New Roman"/>
                <w:bCs/>
                <w:color w:val="000000"/>
                <w:sz w:val="24"/>
                <w:szCs w:val="24"/>
                <w:lang w:eastAsia="es-CR"/>
              </w:rPr>
            </w:pPr>
            <w:r>
              <w:rPr>
                <w:rFonts w:ascii="Times New Roman" w:eastAsia="Times New Roman" w:hAnsi="Times New Roman" w:cs="Times New Roman"/>
                <w:bCs/>
                <w:color w:val="000000"/>
                <w:sz w:val="24"/>
                <w:szCs w:val="24"/>
                <w:lang w:eastAsia="es-CR"/>
              </w:rPr>
              <w:t>Se ordena a colegio privado darle a la recurrente información académica de su hija pese a que ella no tiene la custodia de la menor. La</w:t>
            </w:r>
            <w:r w:rsidRPr="000E71B8">
              <w:rPr>
                <w:rFonts w:ascii="Times New Roman" w:eastAsia="Times New Roman" w:hAnsi="Times New Roman" w:cs="Times New Roman"/>
                <w:bCs/>
                <w:color w:val="000000"/>
                <w:sz w:val="24"/>
                <w:szCs w:val="24"/>
                <w:lang w:eastAsia="es-CR"/>
              </w:rPr>
              <w:t xml:space="preserve"> guarda, la crianza y la educación son tres atributos diferentes e individualizables de la patria potestad  y que si bien una autoridad judicial puede fijar –o los propios progenitores pueden pactar, cuál de ellos ejercerá el atributo de la guarda, tenencia o custodia de sus hijos e hijas– la educación y la crianza de los hijos e hijas es responsabilidad tanto del padre como de la madre, independientemente no sólo de su estado civil, sino también del hecho de que residan juntos o separados.</w:t>
            </w:r>
          </w:p>
        </w:tc>
      </w:tr>
      <w:tr w:rsidR="00565386" w:rsidRPr="00565386" w:rsidTr="00565386">
        <w:tc>
          <w:tcPr>
            <w:tcW w:w="2523" w:type="dxa"/>
            <w:shd w:val="clear" w:color="auto" w:fill="B8CCE4" w:themeFill="accent1" w:themeFillTint="66"/>
            <w:hideMark/>
          </w:tcPr>
          <w:p w:rsidR="00565386" w:rsidRPr="00565386" w:rsidRDefault="00565386" w:rsidP="00565386">
            <w:pPr>
              <w:spacing w:line="181" w:lineRule="atLeast"/>
              <w:rPr>
                <w:rFonts w:ascii="Times New Roman" w:eastAsia="Times New Roman" w:hAnsi="Times New Roman" w:cs="Times New Roman"/>
                <w:color w:val="000000"/>
                <w:sz w:val="24"/>
                <w:szCs w:val="24"/>
                <w:lang w:eastAsia="es-CR"/>
              </w:rPr>
            </w:pPr>
            <w:r w:rsidRPr="00565386">
              <w:rPr>
                <w:rFonts w:ascii="Times New Roman" w:eastAsia="Times New Roman" w:hAnsi="Times New Roman" w:cs="Times New Roman"/>
                <w:color w:val="000000"/>
                <w:sz w:val="24"/>
                <w:szCs w:val="24"/>
                <w:bdr w:val="none" w:sz="0" w:space="0" w:color="auto" w:frame="1"/>
                <w:lang w:eastAsia="es-CR"/>
              </w:rPr>
              <w:t>Número de sentencia:</w:t>
            </w:r>
          </w:p>
        </w:tc>
        <w:tc>
          <w:tcPr>
            <w:tcW w:w="6465" w:type="dxa"/>
            <w:gridSpan w:val="2"/>
            <w:shd w:val="clear" w:color="auto" w:fill="B8CCE4" w:themeFill="accent1" w:themeFillTint="66"/>
            <w:hideMark/>
          </w:tcPr>
          <w:p w:rsidR="00565386" w:rsidRPr="00565386" w:rsidRDefault="00565386" w:rsidP="00565386">
            <w:pPr>
              <w:spacing w:line="181" w:lineRule="atLeast"/>
              <w:rPr>
                <w:rFonts w:ascii="Times New Roman" w:eastAsia="Times New Roman" w:hAnsi="Times New Roman" w:cs="Times New Roman"/>
                <w:color w:val="000000"/>
                <w:sz w:val="24"/>
                <w:szCs w:val="24"/>
                <w:lang w:eastAsia="es-CR"/>
              </w:rPr>
            </w:pPr>
            <w:r w:rsidRPr="00565386">
              <w:rPr>
                <w:rFonts w:ascii="Times New Roman" w:eastAsia="Times New Roman" w:hAnsi="Times New Roman" w:cs="Times New Roman"/>
                <w:color w:val="000000"/>
                <w:sz w:val="24"/>
                <w:szCs w:val="24"/>
                <w:bdr w:val="none" w:sz="0" w:space="0" w:color="auto" w:frame="1"/>
                <w:lang w:eastAsia="es-CR"/>
              </w:rPr>
              <w:t>2019-004582</w:t>
            </w:r>
          </w:p>
        </w:tc>
      </w:tr>
      <w:tr w:rsidR="00565386" w:rsidRPr="00565386" w:rsidTr="00565386">
        <w:tc>
          <w:tcPr>
            <w:tcW w:w="2523" w:type="dxa"/>
            <w:hideMark/>
          </w:tcPr>
          <w:p w:rsidR="00565386" w:rsidRPr="00565386" w:rsidRDefault="00565386" w:rsidP="00565386">
            <w:pPr>
              <w:spacing w:line="181" w:lineRule="atLeast"/>
              <w:rPr>
                <w:rFonts w:ascii="Times New Roman" w:eastAsia="Times New Roman" w:hAnsi="Times New Roman" w:cs="Times New Roman"/>
                <w:color w:val="000000"/>
                <w:sz w:val="24"/>
                <w:szCs w:val="24"/>
                <w:lang w:eastAsia="es-CR"/>
              </w:rPr>
            </w:pPr>
            <w:r w:rsidRPr="00565386">
              <w:rPr>
                <w:rFonts w:ascii="Times New Roman" w:eastAsia="Times New Roman" w:hAnsi="Times New Roman" w:cs="Times New Roman"/>
                <w:color w:val="000000"/>
                <w:sz w:val="24"/>
                <w:szCs w:val="24"/>
                <w:bdr w:val="none" w:sz="0" w:space="0" w:color="auto" w:frame="1"/>
                <w:lang w:eastAsia="es-CR"/>
              </w:rPr>
              <w:t>Fecha de resolución:</w:t>
            </w:r>
          </w:p>
        </w:tc>
        <w:tc>
          <w:tcPr>
            <w:tcW w:w="6465" w:type="dxa"/>
            <w:gridSpan w:val="2"/>
            <w:hideMark/>
          </w:tcPr>
          <w:p w:rsidR="00565386" w:rsidRPr="00565386" w:rsidRDefault="00565386" w:rsidP="00565386">
            <w:pPr>
              <w:spacing w:line="181" w:lineRule="atLeast"/>
              <w:rPr>
                <w:rFonts w:ascii="Times New Roman" w:eastAsia="Times New Roman" w:hAnsi="Times New Roman" w:cs="Times New Roman"/>
                <w:color w:val="000000"/>
                <w:sz w:val="24"/>
                <w:szCs w:val="24"/>
                <w:lang w:eastAsia="es-CR"/>
              </w:rPr>
            </w:pPr>
            <w:r w:rsidRPr="00565386">
              <w:rPr>
                <w:rFonts w:ascii="Times New Roman" w:eastAsia="Times New Roman" w:hAnsi="Times New Roman" w:cs="Times New Roman"/>
                <w:color w:val="000000"/>
                <w:sz w:val="24"/>
                <w:szCs w:val="24"/>
                <w:bdr w:val="none" w:sz="0" w:space="0" w:color="auto" w:frame="1"/>
                <w:lang w:eastAsia="es-CR"/>
              </w:rPr>
              <w:t xml:space="preserve">9:15 </w:t>
            </w:r>
            <w:r>
              <w:rPr>
                <w:rFonts w:ascii="Times New Roman" w:eastAsia="Times New Roman" w:hAnsi="Times New Roman" w:cs="Times New Roman"/>
                <w:color w:val="000000"/>
                <w:sz w:val="24"/>
                <w:szCs w:val="24"/>
                <w:bdr w:val="none" w:sz="0" w:space="0" w:color="auto" w:frame="1"/>
                <w:lang w:eastAsia="es-CR"/>
              </w:rPr>
              <w:t>a.m.</w:t>
            </w:r>
            <w:r w:rsidRPr="00565386">
              <w:rPr>
                <w:rFonts w:ascii="Times New Roman" w:eastAsia="Times New Roman" w:hAnsi="Times New Roman" w:cs="Times New Roman"/>
                <w:color w:val="000000"/>
                <w:sz w:val="24"/>
                <w:szCs w:val="24"/>
                <w:bdr w:val="none" w:sz="0" w:space="0" w:color="auto" w:frame="1"/>
                <w:lang w:eastAsia="es-CR"/>
              </w:rPr>
              <w:t xml:space="preserve"> del 15 de marzo de 2019</w:t>
            </w:r>
          </w:p>
        </w:tc>
      </w:tr>
      <w:tr w:rsidR="00565386" w:rsidRPr="00565386" w:rsidTr="008F0223">
        <w:tc>
          <w:tcPr>
            <w:tcW w:w="2523" w:type="dxa"/>
            <w:shd w:val="clear" w:color="auto" w:fill="D9D9D9" w:themeFill="background1" w:themeFillShade="D9"/>
            <w:hideMark/>
          </w:tcPr>
          <w:p w:rsidR="00565386" w:rsidRPr="00565386" w:rsidRDefault="00565386" w:rsidP="00565386">
            <w:pPr>
              <w:spacing w:line="181" w:lineRule="atLeast"/>
              <w:rPr>
                <w:rFonts w:ascii="Times New Roman" w:eastAsia="Times New Roman" w:hAnsi="Times New Roman" w:cs="Times New Roman"/>
                <w:color w:val="000000"/>
                <w:sz w:val="24"/>
                <w:szCs w:val="24"/>
                <w:lang w:eastAsia="es-CR"/>
              </w:rPr>
            </w:pPr>
            <w:r w:rsidRPr="00565386">
              <w:rPr>
                <w:rFonts w:ascii="Times New Roman" w:eastAsia="Times New Roman" w:hAnsi="Times New Roman" w:cs="Times New Roman"/>
                <w:color w:val="000000"/>
                <w:sz w:val="24"/>
                <w:szCs w:val="24"/>
                <w:bdr w:val="none" w:sz="0" w:space="0" w:color="auto" w:frame="1"/>
                <w:lang w:eastAsia="es-CR"/>
              </w:rPr>
              <w:t>Temática:</w:t>
            </w:r>
          </w:p>
        </w:tc>
        <w:tc>
          <w:tcPr>
            <w:tcW w:w="6465" w:type="dxa"/>
            <w:gridSpan w:val="2"/>
            <w:shd w:val="clear" w:color="auto" w:fill="D9D9D9" w:themeFill="background1" w:themeFillShade="D9"/>
            <w:hideMark/>
          </w:tcPr>
          <w:p w:rsidR="00565386" w:rsidRPr="00565386" w:rsidRDefault="00565386" w:rsidP="00565386">
            <w:pPr>
              <w:spacing w:line="181" w:lineRule="atLeast"/>
              <w:rPr>
                <w:rFonts w:ascii="Times New Roman" w:eastAsia="Times New Roman" w:hAnsi="Times New Roman" w:cs="Times New Roman"/>
                <w:color w:val="000000"/>
                <w:sz w:val="24"/>
                <w:szCs w:val="24"/>
                <w:lang w:eastAsia="es-CR"/>
              </w:rPr>
            </w:pPr>
            <w:r w:rsidRPr="00565386">
              <w:rPr>
                <w:rFonts w:ascii="Times New Roman" w:eastAsia="Times New Roman" w:hAnsi="Times New Roman" w:cs="Times New Roman"/>
                <w:color w:val="000000"/>
                <w:sz w:val="24"/>
                <w:szCs w:val="24"/>
                <w:lang w:eastAsia="es-CR"/>
              </w:rPr>
              <w:t>Derecho a la salud</w:t>
            </w:r>
          </w:p>
        </w:tc>
      </w:tr>
      <w:tr w:rsidR="00565386" w:rsidRPr="00565386" w:rsidTr="008F0223">
        <w:tc>
          <w:tcPr>
            <w:tcW w:w="2523" w:type="dxa"/>
            <w:shd w:val="clear" w:color="auto" w:fill="FFFFFF" w:themeFill="background1"/>
            <w:hideMark/>
          </w:tcPr>
          <w:p w:rsidR="00565386" w:rsidRPr="00565386" w:rsidRDefault="00565386" w:rsidP="00565386">
            <w:pPr>
              <w:spacing w:line="181" w:lineRule="atLeast"/>
              <w:rPr>
                <w:rFonts w:ascii="Times New Roman" w:eastAsia="Times New Roman" w:hAnsi="Times New Roman" w:cs="Times New Roman"/>
                <w:color w:val="000000"/>
                <w:sz w:val="24"/>
                <w:szCs w:val="24"/>
                <w:lang w:eastAsia="es-CR"/>
              </w:rPr>
            </w:pPr>
            <w:r w:rsidRPr="00565386">
              <w:rPr>
                <w:rFonts w:ascii="Times New Roman" w:eastAsia="Times New Roman" w:hAnsi="Times New Roman" w:cs="Times New Roman"/>
                <w:color w:val="000000"/>
                <w:sz w:val="24"/>
                <w:szCs w:val="24"/>
                <w:bdr w:val="none" w:sz="0" w:space="0" w:color="auto" w:frame="1"/>
                <w:lang w:eastAsia="es-CR"/>
              </w:rPr>
              <w:t>Tipo de asunto:</w:t>
            </w:r>
          </w:p>
        </w:tc>
        <w:tc>
          <w:tcPr>
            <w:tcW w:w="6465" w:type="dxa"/>
            <w:gridSpan w:val="2"/>
            <w:shd w:val="clear" w:color="auto" w:fill="FFFFFF" w:themeFill="background1"/>
            <w:hideMark/>
          </w:tcPr>
          <w:p w:rsidR="00565386" w:rsidRPr="00565386" w:rsidRDefault="00565386" w:rsidP="00565386">
            <w:pPr>
              <w:spacing w:line="181" w:lineRule="atLeast"/>
              <w:rPr>
                <w:rFonts w:ascii="Times New Roman" w:eastAsia="Times New Roman" w:hAnsi="Times New Roman" w:cs="Times New Roman"/>
                <w:color w:val="000000"/>
                <w:sz w:val="24"/>
                <w:szCs w:val="24"/>
                <w:lang w:eastAsia="es-CR"/>
              </w:rPr>
            </w:pPr>
            <w:r w:rsidRPr="00565386">
              <w:rPr>
                <w:rFonts w:ascii="Times New Roman" w:eastAsia="Times New Roman" w:hAnsi="Times New Roman" w:cs="Times New Roman"/>
                <w:color w:val="000000"/>
                <w:sz w:val="24"/>
                <w:szCs w:val="24"/>
                <w:bdr w:val="none" w:sz="0" w:space="0" w:color="auto" w:frame="1"/>
                <w:lang w:eastAsia="es-CR"/>
              </w:rPr>
              <w:t>Recurso de amparo</w:t>
            </w:r>
          </w:p>
        </w:tc>
      </w:tr>
      <w:tr w:rsidR="00565386" w:rsidRPr="00565386" w:rsidTr="00565386">
        <w:tc>
          <w:tcPr>
            <w:tcW w:w="2523" w:type="dxa"/>
            <w:hideMark/>
          </w:tcPr>
          <w:p w:rsidR="00565386" w:rsidRPr="00565386" w:rsidRDefault="00565386" w:rsidP="00565386">
            <w:pPr>
              <w:spacing w:line="181" w:lineRule="atLeast"/>
              <w:rPr>
                <w:rFonts w:ascii="Times New Roman" w:eastAsia="Times New Roman" w:hAnsi="Times New Roman" w:cs="Times New Roman"/>
                <w:color w:val="000000"/>
                <w:sz w:val="24"/>
                <w:szCs w:val="24"/>
                <w:lang w:eastAsia="es-CR"/>
              </w:rPr>
            </w:pPr>
            <w:r w:rsidRPr="00565386">
              <w:rPr>
                <w:rFonts w:ascii="Times New Roman" w:eastAsia="Times New Roman" w:hAnsi="Times New Roman" w:cs="Times New Roman"/>
                <w:color w:val="000000"/>
                <w:sz w:val="24"/>
                <w:szCs w:val="24"/>
                <w:bdr w:val="none" w:sz="0" w:space="0" w:color="auto" w:frame="1"/>
                <w:lang w:eastAsia="es-CR"/>
              </w:rPr>
              <w:t>Resumen:</w:t>
            </w:r>
          </w:p>
        </w:tc>
        <w:tc>
          <w:tcPr>
            <w:tcW w:w="6465" w:type="dxa"/>
            <w:gridSpan w:val="2"/>
            <w:hideMark/>
          </w:tcPr>
          <w:p w:rsidR="00565386" w:rsidRPr="00565386" w:rsidRDefault="00565386" w:rsidP="00565386">
            <w:pPr>
              <w:spacing w:line="181" w:lineRule="atLeast"/>
              <w:rPr>
                <w:rFonts w:ascii="Times New Roman" w:eastAsia="Times New Roman" w:hAnsi="Times New Roman" w:cs="Times New Roman"/>
                <w:color w:val="000000"/>
                <w:sz w:val="24"/>
                <w:szCs w:val="24"/>
                <w:lang w:eastAsia="es-CR"/>
              </w:rPr>
            </w:pPr>
            <w:r w:rsidRPr="00565386">
              <w:rPr>
                <w:rFonts w:ascii="Times New Roman" w:eastAsia="Times New Roman" w:hAnsi="Times New Roman" w:cs="Times New Roman"/>
                <w:color w:val="000000"/>
                <w:sz w:val="24"/>
                <w:szCs w:val="24"/>
                <w:bdr w:val="none" w:sz="0" w:space="0" w:color="auto" w:frame="1"/>
                <w:shd w:val="clear" w:color="auto" w:fill="FFFFFF"/>
                <w:lang w:eastAsia="es-CR"/>
              </w:rPr>
              <w:t>El recurso se estimó dado que el Ministerio de Salud había impuesto requisitos desproporcionados a la importación de tejidos para trasplantes, particularmente, de las córneas, ya que no tomaban en cuenta la vida útil de las mismas (7 días), lo cual afectaba seriamente a las personas que requerían un trasplante de córnea. </w:t>
            </w:r>
            <w:r>
              <w:rPr>
                <w:rFonts w:ascii="Times New Roman" w:eastAsia="Times New Roman" w:hAnsi="Times New Roman" w:cs="Times New Roman"/>
                <w:color w:val="000000"/>
                <w:sz w:val="24"/>
                <w:szCs w:val="24"/>
                <w:bdr w:val="none" w:sz="0" w:space="0" w:color="auto" w:frame="1"/>
                <w:shd w:val="clear" w:color="auto" w:fill="FFFFFF"/>
                <w:lang w:eastAsia="es-CR"/>
              </w:rPr>
              <w:t>Se declara con lugar.</w:t>
            </w:r>
            <w:r>
              <w:t xml:space="preserve"> El </w:t>
            </w:r>
            <w:r w:rsidRPr="00565386">
              <w:rPr>
                <w:rFonts w:ascii="Times New Roman" w:eastAsia="Times New Roman" w:hAnsi="Times New Roman" w:cs="Times New Roman"/>
                <w:color w:val="000000"/>
                <w:sz w:val="24"/>
                <w:szCs w:val="24"/>
                <w:bdr w:val="none" w:sz="0" w:space="0" w:color="auto" w:frame="1"/>
                <w:shd w:val="clear" w:color="auto" w:fill="FFFFFF"/>
                <w:lang w:eastAsia="es-CR"/>
              </w:rPr>
              <w:t xml:space="preserve">Tribunal anula los acuerdos administrativos impugnados y ordena a la Secretaría Ejecutiva Técnica de Donación y Trasplante de Órganos establecer un procedimiento adecuado para la importación de córneas para </w:t>
            </w:r>
            <w:r w:rsidRPr="00565386">
              <w:rPr>
                <w:rFonts w:ascii="Times New Roman" w:eastAsia="Times New Roman" w:hAnsi="Times New Roman" w:cs="Times New Roman"/>
                <w:color w:val="000000"/>
                <w:sz w:val="24"/>
                <w:szCs w:val="24"/>
                <w:bdr w:val="none" w:sz="0" w:space="0" w:color="auto" w:frame="1"/>
                <w:shd w:val="clear" w:color="auto" w:fill="FFFFFF"/>
                <w:lang w:eastAsia="es-CR"/>
              </w:rPr>
              <w:lastRenderedPageBreak/>
              <w:t>trasplante</w:t>
            </w:r>
            <w:r>
              <w:rPr>
                <w:rFonts w:ascii="Times New Roman" w:eastAsia="Times New Roman" w:hAnsi="Times New Roman" w:cs="Times New Roman"/>
                <w:color w:val="000000"/>
                <w:sz w:val="24"/>
                <w:szCs w:val="24"/>
                <w:bdr w:val="none" w:sz="0" w:space="0" w:color="auto" w:frame="1"/>
                <w:shd w:val="clear" w:color="auto" w:fill="FFFFFF"/>
                <w:lang w:eastAsia="es-CR"/>
              </w:rPr>
              <w:t>.</w:t>
            </w:r>
          </w:p>
        </w:tc>
      </w:tr>
      <w:tr w:rsidR="0080060B" w:rsidRPr="00565386" w:rsidTr="008F0223">
        <w:tc>
          <w:tcPr>
            <w:tcW w:w="2523" w:type="dxa"/>
            <w:shd w:val="clear" w:color="auto" w:fill="C6D9F1" w:themeFill="text2" w:themeFillTint="33"/>
            <w:hideMark/>
          </w:tcPr>
          <w:p w:rsidR="0080060B" w:rsidRPr="00565386" w:rsidRDefault="0080060B" w:rsidP="00245C9C">
            <w:pPr>
              <w:spacing w:line="181" w:lineRule="atLeast"/>
              <w:rPr>
                <w:rFonts w:ascii="Times New Roman" w:eastAsia="Times New Roman" w:hAnsi="Times New Roman" w:cs="Times New Roman"/>
                <w:color w:val="000000"/>
                <w:sz w:val="24"/>
                <w:szCs w:val="24"/>
                <w:lang w:eastAsia="es-CR"/>
              </w:rPr>
            </w:pPr>
            <w:r w:rsidRPr="00565386">
              <w:rPr>
                <w:rFonts w:ascii="Times New Roman" w:eastAsia="Times New Roman" w:hAnsi="Times New Roman" w:cs="Times New Roman"/>
                <w:color w:val="000000"/>
                <w:sz w:val="24"/>
                <w:szCs w:val="24"/>
                <w:bdr w:val="none" w:sz="0" w:space="0" w:color="auto" w:frame="1"/>
                <w:lang w:eastAsia="es-CR"/>
              </w:rPr>
              <w:lastRenderedPageBreak/>
              <w:t>Número de sentencia:</w:t>
            </w:r>
          </w:p>
        </w:tc>
        <w:tc>
          <w:tcPr>
            <w:tcW w:w="6465" w:type="dxa"/>
            <w:gridSpan w:val="2"/>
            <w:shd w:val="clear" w:color="auto" w:fill="C6D9F1" w:themeFill="text2" w:themeFillTint="33"/>
            <w:hideMark/>
          </w:tcPr>
          <w:p w:rsidR="0080060B" w:rsidRPr="00565386" w:rsidRDefault="0080060B" w:rsidP="00245C9C">
            <w:pPr>
              <w:spacing w:line="181" w:lineRule="atLeast"/>
              <w:rPr>
                <w:rFonts w:ascii="Times New Roman" w:eastAsia="Times New Roman" w:hAnsi="Times New Roman" w:cs="Times New Roman"/>
                <w:color w:val="000000"/>
                <w:sz w:val="24"/>
                <w:szCs w:val="24"/>
                <w:lang w:eastAsia="es-CR"/>
              </w:rPr>
            </w:pPr>
            <w:r w:rsidRPr="00565386">
              <w:rPr>
                <w:rFonts w:ascii="Times New Roman" w:eastAsia="Times New Roman" w:hAnsi="Times New Roman" w:cs="Times New Roman"/>
                <w:color w:val="000000"/>
                <w:sz w:val="24"/>
                <w:szCs w:val="24"/>
                <w:bdr w:val="none" w:sz="0" w:space="0" w:color="auto" w:frame="1"/>
                <w:lang w:eastAsia="es-CR"/>
              </w:rPr>
              <w:t>2019-004582</w:t>
            </w:r>
          </w:p>
        </w:tc>
      </w:tr>
      <w:tr w:rsidR="0080060B" w:rsidRPr="00565386" w:rsidTr="0080060B">
        <w:tc>
          <w:tcPr>
            <w:tcW w:w="2523" w:type="dxa"/>
            <w:hideMark/>
          </w:tcPr>
          <w:p w:rsidR="0080060B" w:rsidRPr="00565386" w:rsidRDefault="0080060B" w:rsidP="00245C9C">
            <w:pPr>
              <w:spacing w:line="181" w:lineRule="atLeast"/>
              <w:rPr>
                <w:rFonts w:ascii="Times New Roman" w:eastAsia="Times New Roman" w:hAnsi="Times New Roman" w:cs="Times New Roman"/>
                <w:color w:val="000000"/>
                <w:sz w:val="24"/>
                <w:szCs w:val="24"/>
                <w:lang w:eastAsia="es-CR"/>
              </w:rPr>
            </w:pPr>
            <w:r w:rsidRPr="00565386">
              <w:rPr>
                <w:rFonts w:ascii="Times New Roman" w:eastAsia="Times New Roman" w:hAnsi="Times New Roman" w:cs="Times New Roman"/>
                <w:color w:val="000000"/>
                <w:sz w:val="24"/>
                <w:szCs w:val="24"/>
                <w:bdr w:val="none" w:sz="0" w:space="0" w:color="auto" w:frame="1"/>
                <w:lang w:eastAsia="es-CR"/>
              </w:rPr>
              <w:t>Fecha de resolución:</w:t>
            </w:r>
          </w:p>
        </w:tc>
        <w:tc>
          <w:tcPr>
            <w:tcW w:w="6465" w:type="dxa"/>
            <w:gridSpan w:val="2"/>
            <w:hideMark/>
          </w:tcPr>
          <w:p w:rsidR="0080060B" w:rsidRPr="00565386" w:rsidRDefault="0080060B" w:rsidP="00245C9C">
            <w:pPr>
              <w:spacing w:line="181" w:lineRule="atLeast"/>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bdr w:val="none" w:sz="0" w:space="0" w:color="auto" w:frame="1"/>
                <w:lang w:eastAsia="es-CR"/>
              </w:rPr>
              <w:t>29</w:t>
            </w:r>
            <w:r w:rsidRPr="00565386">
              <w:rPr>
                <w:rFonts w:ascii="Times New Roman" w:eastAsia="Times New Roman" w:hAnsi="Times New Roman" w:cs="Times New Roman"/>
                <w:color w:val="000000"/>
                <w:sz w:val="24"/>
                <w:szCs w:val="24"/>
                <w:bdr w:val="none" w:sz="0" w:space="0" w:color="auto" w:frame="1"/>
                <w:lang w:eastAsia="es-CR"/>
              </w:rPr>
              <w:t xml:space="preserve"> de marzo de 2019</w:t>
            </w:r>
          </w:p>
        </w:tc>
      </w:tr>
      <w:tr w:rsidR="0080060B" w:rsidRPr="00565386" w:rsidTr="008F0223">
        <w:tc>
          <w:tcPr>
            <w:tcW w:w="2523" w:type="dxa"/>
            <w:shd w:val="clear" w:color="auto" w:fill="D9D9D9" w:themeFill="background1" w:themeFillShade="D9"/>
            <w:hideMark/>
          </w:tcPr>
          <w:p w:rsidR="0080060B" w:rsidRPr="00565386" w:rsidRDefault="0080060B" w:rsidP="00245C9C">
            <w:pPr>
              <w:spacing w:line="181" w:lineRule="atLeast"/>
              <w:rPr>
                <w:rFonts w:ascii="Times New Roman" w:eastAsia="Times New Roman" w:hAnsi="Times New Roman" w:cs="Times New Roman"/>
                <w:color w:val="000000"/>
                <w:sz w:val="24"/>
                <w:szCs w:val="24"/>
                <w:lang w:eastAsia="es-CR"/>
              </w:rPr>
            </w:pPr>
            <w:r w:rsidRPr="00565386">
              <w:rPr>
                <w:rFonts w:ascii="Times New Roman" w:eastAsia="Times New Roman" w:hAnsi="Times New Roman" w:cs="Times New Roman"/>
                <w:color w:val="000000"/>
                <w:sz w:val="24"/>
                <w:szCs w:val="24"/>
                <w:bdr w:val="none" w:sz="0" w:space="0" w:color="auto" w:frame="1"/>
                <w:lang w:eastAsia="es-CR"/>
              </w:rPr>
              <w:t>Temática:</w:t>
            </w:r>
          </w:p>
        </w:tc>
        <w:tc>
          <w:tcPr>
            <w:tcW w:w="6465" w:type="dxa"/>
            <w:gridSpan w:val="2"/>
            <w:shd w:val="clear" w:color="auto" w:fill="D9D9D9" w:themeFill="background1" w:themeFillShade="D9"/>
            <w:hideMark/>
          </w:tcPr>
          <w:p w:rsidR="0080060B" w:rsidRPr="00565386" w:rsidRDefault="0080060B" w:rsidP="00245C9C">
            <w:pPr>
              <w:spacing w:line="181" w:lineRule="atLeast"/>
              <w:rPr>
                <w:rFonts w:ascii="Times New Roman" w:eastAsia="Times New Roman" w:hAnsi="Times New Roman" w:cs="Times New Roman"/>
                <w:color w:val="000000"/>
                <w:sz w:val="24"/>
                <w:szCs w:val="24"/>
                <w:lang w:eastAsia="es-CR"/>
              </w:rPr>
            </w:pPr>
            <w:r w:rsidRPr="00565386">
              <w:rPr>
                <w:rFonts w:ascii="Times New Roman" w:eastAsia="Times New Roman" w:hAnsi="Times New Roman" w:cs="Times New Roman"/>
                <w:color w:val="000000"/>
                <w:sz w:val="24"/>
                <w:szCs w:val="24"/>
                <w:lang w:eastAsia="es-CR"/>
              </w:rPr>
              <w:t>Derecho a la salud</w:t>
            </w:r>
          </w:p>
        </w:tc>
      </w:tr>
      <w:tr w:rsidR="0080060B" w:rsidRPr="00565386" w:rsidTr="0080060B">
        <w:tc>
          <w:tcPr>
            <w:tcW w:w="2523" w:type="dxa"/>
            <w:hideMark/>
          </w:tcPr>
          <w:p w:rsidR="0080060B" w:rsidRPr="00565386" w:rsidRDefault="0080060B" w:rsidP="00245C9C">
            <w:pPr>
              <w:spacing w:line="181" w:lineRule="atLeast"/>
              <w:rPr>
                <w:rFonts w:ascii="Times New Roman" w:eastAsia="Times New Roman" w:hAnsi="Times New Roman" w:cs="Times New Roman"/>
                <w:color w:val="000000"/>
                <w:sz w:val="24"/>
                <w:szCs w:val="24"/>
                <w:lang w:eastAsia="es-CR"/>
              </w:rPr>
            </w:pPr>
            <w:r w:rsidRPr="00565386">
              <w:rPr>
                <w:rFonts w:ascii="Times New Roman" w:eastAsia="Times New Roman" w:hAnsi="Times New Roman" w:cs="Times New Roman"/>
                <w:color w:val="000000"/>
                <w:sz w:val="24"/>
                <w:szCs w:val="24"/>
                <w:bdr w:val="none" w:sz="0" w:space="0" w:color="auto" w:frame="1"/>
                <w:lang w:eastAsia="es-CR"/>
              </w:rPr>
              <w:t>Tipo de asunto:</w:t>
            </w:r>
          </w:p>
        </w:tc>
        <w:tc>
          <w:tcPr>
            <w:tcW w:w="6465" w:type="dxa"/>
            <w:gridSpan w:val="2"/>
            <w:hideMark/>
          </w:tcPr>
          <w:p w:rsidR="0080060B" w:rsidRPr="00565386" w:rsidRDefault="0080060B" w:rsidP="00245C9C">
            <w:pPr>
              <w:spacing w:line="181" w:lineRule="atLeast"/>
              <w:rPr>
                <w:rFonts w:ascii="Times New Roman" w:eastAsia="Times New Roman" w:hAnsi="Times New Roman" w:cs="Times New Roman"/>
                <w:color w:val="000000"/>
                <w:sz w:val="24"/>
                <w:szCs w:val="24"/>
                <w:lang w:eastAsia="es-CR"/>
              </w:rPr>
            </w:pPr>
            <w:r w:rsidRPr="00565386">
              <w:rPr>
                <w:rFonts w:ascii="Times New Roman" w:eastAsia="Times New Roman" w:hAnsi="Times New Roman" w:cs="Times New Roman"/>
                <w:color w:val="000000"/>
                <w:sz w:val="24"/>
                <w:szCs w:val="24"/>
                <w:bdr w:val="none" w:sz="0" w:space="0" w:color="auto" w:frame="1"/>
                <w:lang w:eastAsia="es-CR"/>
              </w:rPr>
              <w:t>Recurso de amparo</w:t>
            </w:r>
          </w:p>
        </w:tc>
      </w:tr>
      <w:tr w:rsidR="0080060B" w:rsidRPr="00565386" w:rsidTr="0080060B">
        <w:tc>
          <w:tcPr>
            <w:tcW w:w="2523" w:type="dxa"/>
            <w:hideMark/>
          </w:tcPr>
          <w:p w:rsidR="0080060B" w:rsidRPr="00565386" w:rsidRDefault="0080060B" w:rsidP="00245C9C">
            <w:pPr>
              <w:spacing w:line="181" w:lineRule="atLeast"/>
              <w:rPr>
                <w:rFonts w:ascii="Times New Roman" w:eastAsia="Times New Roman" w:hAnsi="Times New Roman" w:cs="Times New Roman"/>
                <w:color w:val="000000"/>
                <w:sz w:val="24"/>
                <w:szCs w:val="24"/>
                <w:lang w:eastAsia="es-CR"/>
              </w:rPr>
            </w:pPr>
            <w:r w:rsidRPr="00565386">
              <w:rPr>
                <w:rFonts w:ascii="Times New Roman" w:eastAsia="Times New Roman" w:hAnsi="Times New Roman" w:cs="Times New Roman"/>
                <w:color w:val="000000"/>
                <w:sz w:val="24"/>
                <w:szCs w:val="24"/>
                <w:bdr w:val="none" w:sz="0" w:space="0" w:color="auto" w:frame="1"/>
                <w:lang w:eastAsia="es-CR"/>
              </w:rPr>
              <w:t>Resumen:</w:t>
            </w:r>
          </w:p>
        </w:tc>
        <w:tc>
          <w:tcPr>
            <w:tcW w:w="6465" w:type="dxa"/>
            <w:gridSpan w:val="2"/>
            <w:hideMark/>
          </w:tcPr>
          <w:p w:rsidR="0080060B" w:rsidRPr="005D10D1" w:rsidRDefault="0080060B" w:rsidP="005D10D1">
            <w:pPr>
              <w:jc w:val="both"/>
              <w:rPr>
                <w:rFonts w:ascii="Times New Roman" w:hAnsi="Times New Roman" w:cs="Times New Roman"/>
                <w:sz w:val="24"/>
                <w:szCs w:val="24"/>
              </w:rPr>
            </w:pPr>
            <w:r w:rsidRPr="008F0223">
              <w:rPr>
                <w:rFonts w:ascii="Times New Roman" w:hAnsi="Times New Roman" w:cs="Times New Roman"/>
                <w:sz w:val="24"/>
                <w:szCs w:val="24"/>
              </w:rPr>
              <w:t>Ordena a la Caja Costarricense del Seguro Social (CCSS) diseñar, en un máximo de seis meses, un sistema de gestión integrado para reducir los plazos desproporcionados e irrazonables que deben esperar los asegurados para recibir atención en los hospitales, problemática que representa una violación sistemática y reiterada al derecho a la salud.</w:t>
            </w:r>
          </w:p>
        </w:tc>
      </w:tr>
      <w:tr w:rsidR="008F0223" w:rsidRPr="00565386" w:rsidTr="008F0223">
        <w:tc>
          <w:tcPr>
            <w:tcW w:w="2523" w:type="dxa"/>
            <w:shd w:val="clear" w:color="auto" w:fill="C6D9F1" w:themeFill="text2" w:themeFillTint="33"/>
            <w:hideMark/>
          </w:tcPr>
          <w:p w:rsidR="008F0223" w:rsidRPr="00565386" w:rsidRDefault="008F0223" w:rsidP="00245C9C">
            <w:pPr>
              <w:spacing w:line="181" w:lineRule="atLeast"/>
              <w:rPr>
                <w:rFonts w:ascii="Times New Roman" w:eastAsia="Times New Roman" w:hAnsi="Times New Roman" w:cs="Times New Roman"/>
                <w:color w:val="000000"/>
                <w:sz w:val="24"/>
                <w:szCs w:val="24"/>
                <w:lang w:eastAsia="es-CR"/>
              </w:rPr>
            </w:pPr>
            <w:r w:rsidRPr="00565386">
              <w:rPr>
                <w:rFonts w:ascii="Times New Roman" w:eastAsia="Times New Roman" w:hAnsi="Times New Roman" w:cs="Times New Roman"/>
                <w:color w:val="000000"/>
                <w:sz w:val="24"/>
                <w:szCs w:val="24"/>
                <w:bdr w:val="none" w:sz="0" w:space="0" w:color="auto" w:frame="1"/>
                <w:lang w:eastAsia="es-CR"/>
              </w:rPr>
              <w:t>Número de sentencia:</w:t>
            </w:r>
          </w:p>
        </w:tc>
        <w:tc>
          <w:tcPr>
            <w:tcW w:w="6465" w:type="dxa"/>
            <w:gridSpan w:val="2"/>
            <w:shd w:val="clear" w:color="auto" w:fill="C6D9F1" w:themeFill="text2" w:themeFillTint="33"/>
            <w:hideMark/>
          </w:tcPr>
          <w:p w:rsidR="008F0223" w:rsidRPr="00565386" w:rsidRDefault="008F0223" w:rsidP="00245C9C">
            <w:pPr>
              <w:spacing w:line="181" w:lineRule="atLeast"/>
              <w:rPr>
                <w:rFonts w:ascii="Times New Roman" w:eastAsia="Times New Roman" w:hAnsi="Times New Roman" w:cs="Times New Roman"/>
                <w:color w:val="000000"/>
                <w:sz w:val="24"/>
                <w:szCs w:val="24"/>
                <w:lang w:eastAsia="es-CR"/>
              </w:rPr>
            </w:pPr>
            <w:r w:rsidRPr="008F0223">
              <w:rPr>
                <w:rFonts w:ascii="Times New Roman" w:eastAsia="Times New Roman" w:hAnsi="Times New Roman" w:cs="Times New Roman"/>
                <w:color w:val="000000"/>
                <w:sz w:val="24"/>
                <w:szCs w:val="24"/>
                <w:bdr w:val="none" w:sz="0" w:space="0" w:color="auto" w:frame="1"/>
                <w:lang w:eastAsia="es-CR"/>
              </w:rPr>
              <w:t>2019</w:t>
            </w:r>
            <w:r>
              <w:rPr>
                <w:rFonts w:ascii="Times New Roman" w:eastAsia="Times New Roman" w:hAnsi="Times New Roman" w:cs="Times New Roman"/>
                <w:color w:val="000000"/>
                <w:sz w:val="24"/>
                <w:szCs w:val="24"/>
                <w:bdr w:val="none" w:sz="0" w:space="0" w:color="auto" w:frame="1"/>
                <w:lang w:eastAsia="es-CR"/>
              </w:rPr>
              <w:t>-</w:t>
            </w:r>
            <w:r w:rsidRPr="008F0223">
              <w:rPr>
                <w:rFonts w:ascii="Times New Roman" w:eastAsia="Times New Roman" w:hAnsi="Times New Roman" w:cs="Times New Roman"/>
                <w:color w:val="000000"/>
                <w:sz w:val="24"/>
                <w:szCs w:val="24"/>
                <w:bdr w:val="none" w:sz="0" w:space="0" w:color="auto" w:frame="1"/>
                <w:lang w:eastAsia="es-CR"/>
              </w:rPr>
              <w:t>004046</w:t>
            </w:r>
          </w:p>
        </w:tc>
      </w:tr>
      <w:tr w:rsidR="008F0223" w:rsidRPr="00565386" w:rsidTr="008F0223">
        <w:tc>
          <w:tcPr>
            <w:tcW w:w="2523" w:type="dxa"/>
            <w:hideMark/>
          </w:tcPr>
          <w:p w:rsidR="008F0223" w:rsidRPr="00565386" w:rsidRDefault="008F0223" w:rsidP="00245C9C">
            <w:pPr>
              <w:spacing w:line="181" w:lineRule="atLeast"/>
              <w:rPr>
                <w:rFonts w:ascii="Times New Roman" w:eastAsia="Times New Roman" w:hAnsi="Times New Roman" w:cs="Times New Roman"/>
                <w:color w:val="000000"/>
                <w:sz w:val="24"/>
                <w:szCs w:val="24"/>
                <w:lang w:eastAsia="es-CR"/>
              </w:rPr>
            </w:pPr>
            <w:r w:rsidRPr="00565386">
              <w:rPr>
                <w:rFonts w:ascii="Times New Roman" w:eastAsia="Times New Roman" w:hAnsi="Times New Roman" w:cs="Times New Roman"/>
                <w:color w:val="000000"/>
                <w:sz w:val="24"/>
                <w:szCs w:val="24"/>
                <w:bdr w:val="none" w:sz="0" w:space="0" w:color="auto" w:frame="1"/>
                <w:lang w:eastAsia="es-CR"/>
              </w:rPr>
              <w:t>Fecha de resolución:</w:t>
            </w:r>
          </w:p>
        </w:tc>
        <w:tc>
          <w:tcPr>
            <w:tcW w:w="6465" w:type="dxa"/>
            <w:gridSpan w:val="2"/>
            <w:hideMark/>
          </w:tcPr>
          <w:p w:rsidR="008F0223" w:rsidRPr="008F0223" w:rsidRDefault="008F0223" w:rsidP="00245C9C">
            <w:pPr>
              <w:spacing w:line="181" w:lineRule="atLeast"/>
              <w:rPr>
                <w:rFonts w:ascii="Times New Roman" w:eastAsia="Times New Roman" w:hAnsi="Times New Roman" w:cs="Times New Roman"/>
                <w:color w:val="000000"/>
                <w:sz w:val="24"/>
                <w:szCs w:val="24"/>
                <w:lang w:eastAsia="es-CR"/>
              </w:rPr>
            </w:pPr>
            <w:r w:rsidRPr="008F0223">
              <w:rPr>
                <w:rFonts w:ascii="Times New Roman" w:hAnsi="Times New Roman" w:cs="Times New Roman"/>
                <w:sz w:val="24"/>
                <w:szCs w:val="24"/>
              </w:rPr>
              <w:t>8 de marzo 2019</w:t>
            </w:r>
          </w:p>
        </w:tc>
      </w:tr>
      <w:tr w:rsidR="008F0223" w:rsidRPr="00565386" w:rsidTr="008F0223">
        <w:tc>
          <w:tcPr>
            <w:tcW w:w="2523" w:type="dxa"/>
            <w:shd w:val="clear" w:color="auto" w:fill="D9D9D9" w:themeFill="background1" w:themeFillShade="D9"/>
            <w:hideMark/>
          </w:tcPr>
          <w:p w:rsidR="008F0223" w:rsidRPr="00565386" w:rsidRDefault="008F0223" w:rsidP="00245C9C">
            <w:pPr>
              <w:spacing w:line="181" w:lineRule="atLeast"/>
              <w:rPr>
                <w:rFonts w:ascii="Times New Roman" w:eastAsia="Times New Roman" w:hAnsi="Times New Roman" w:cs="Times New Roman"/>
                <w:color w:val="000000"/>
                <w:sz w:val="24"/>
                <w:szCs w:val="24"/>
                <w:lang w:eastAsia="es-CR"/>
              </w:rPr>
            </w:pPr>
            <w:r w:rsidRPr="00565386">
              <w:rPr>
                <w:rFonts w:ascii="Times New Roman" w:eastAsia="Times New Roman" w:hAnsi="Times New Roman" w:cs="Times New Roman"/>
                <w:color w:val="000000"/>
                <w:sz w:val="24"/>
                <w:szCs w:val="24"/>
                <w:bdr w:val="none" w:sz="0" w:space="0" w:color="auto" w:frame="1"/>
                <w:lang w:eastAsia="es-CR"/>
              </w:rPr>
              <w:t>Temática:</w:t>
            </w:r>
          </w:p>
        </w:tc>
        <w:tc>
          <w:tcPr>
            <w:tcW w:w="6465" w:type="dxa"/>
            <w:gridSpan w:val="2"/>
            <w:shd w:val="clear" w:color="auto" w:fill="D9D9D9" w:themeFill="background1" w:themeFillShade="D9"/>
            <w:hideMark/>
          </w:tcPr>
          <w:p w:rsidR="008F0223" w:rsidRPr="00565386" w:rsidRDefault="008F0223" w:rsidP="008F0223">
            <w:pPr>
              <w:spacing w:line="181" w:lineRule="atLeast"/>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Seguridad alimentaria</w:t>
            </w:r>
          </w:p>
        </w:tc>
      </w:tr>
      <w:tr w:rsidR="008F0223" w:rsidRPr="00565386" w:rsidTr="008F0223">
        <w:tc>
          <w:tcPr>
            <w:tcW w:w="2523" w:type="dxa"/>
            <w:hideMark/>
          </w:tcPr>
          <w:p w:rsidR="008F0223" w:rsidRPr="00565386" w:rsidRDefault="008F0223" w:rsidP="00245C9C">
            <w:pPr>
              <w:spacing w:line="181" w:lineRule="atLeast"/>
              <w:rPr>
                <w:rFonts w:ascii="Times New Roman" w:eastAsia="Times New Roman" w:hAnsi="Times New Roman" w:cs="Times New Roman"/>
                <w:color w:val="000000"/>
                <w:sz w:val="24"/>
                <w:szCs w:val="24"/>
                <w:lang w:eastAsia="es-CR"/>
              </w:rPr>
            </w:pPr>
            <w:r w:rsidRPr="00565386">
              <w:rPr>
                <w:rFonts w:ascii="Times New Roman" w:eastAsia="Times New Roman" w:hAnsi="Times New Roman" w:cs="Times New Roman"/>
                <w:color w:val="000000"/>
                <w:sz w:val="24"/>
                <w:szCs w:val="24"/>
                <w:bdr w:val="none" w:sz="0" w:space="0" w:color="auto" w:frame="1"/>
                <w:lang w:eastAsia="es-CR"/>
              </w:rPr>
              <w:t>Tipo de asunto:</w:t>
            </w:r>
          </w:p>
        </w:tc>
        <w:tc>
          <w:tcPr>
            <w:tcW w:w="6465" w:type="dxa"/>
            <w:gridSpan w:val="2"/>
            <w:hideMark/>
          </w:tcPr>
          <w:p w:rsidR="008F0223" w:rsidRPr="00565386" w:rsidRDefault="008F0223" w:rsidP="00245C9C">
            <w:pPr>
              <w:spacing w:line="181" w:lineRule="atLeast"/>
              <w:rPr>
                <w:rFonts w:ascii="Times New Roman" w:eastAsia="Times New Roman" w:hAnsi="Times New Roman" w:cs="Times New Roman"/>
                <w:color w:val="000000"/>
                <w:sz w:val="24"/>
                <w:szCs w:val="24"/>
                <w:lang w:eastAsia="es-CR"/>
              </w:rPr>
            </w:pPr>
            <w:r w:rsidRPr="00565386">
              <w:rPr>
                <w:rFonts w:ascii="Times New Roman" w:eastAsia="Times New Roman" w:hAnsi="Times New Roman" w:cs="Times New Roman"/>
                <w:color w:val="000000"/>
                <w:sz w:val="24"/>
                <w:szCs w:val="24"/>
                <w:bdr w:val="none" w:sz="0" w:space="0" w:color="auto" w:frame="1"/>
                <w:lang w:eastAsia="es-CR"/>
              </w:rPr>
              <w:t>Recurso de amparo</w:t>
            </w:r>
          </w:p>
        </w:tc>
      </w:tr>
      <w:tr w:rsidR="008F0223" w:rsidRPr="00565386" w:rsidTr="008F0223">
        <w:tc>
          <w:tcPr>
            <w:tcW w:w="2523" w:type="dxa"/>
            <w:hideMark/>
          </w:tcPr>
          <w:p w:rsidR="008F0223" w:rsidRPr="00565386" w:rsidRDefault="008F0223" w:rsidP="00245C9C">
            <w:pPr>
              <w:spacing w:line="181" w:lineRule="atLeast"/>
              <w:rPr>
                <w:rFonts w:ascii="Times New Roman" w:eastAsia="Times New Roman" w:hAnsi="Times New Roman" w:cs="Times New Roman"/>
                <w:color w:val="000000"/>
                <w:sz w:val="24"/>
                <w:szCs w:val="24"/>
                <w:lang w:eastAsia="es-CR"/>
              </w:rPr>
            </w:pPr>
            <w:r w:rsidRPr="00565386">
              <w:rPr>
                <w:rFonts w:ascii="Times New Roman" w:eastAsia="Times New Roman" w:hAnsi="Times New Roman" w:cs="Times New Roman"/>
                <w:color w:val="000000"/>
                <w:sz w:val="24"/>
                <w:szCs w:val="24"/>
                <w:bdr w:val="none" w:sz="0" w:space="0" w:color="auto" w:frame="1"/>
                <w:lang w:eastAsia="es-CR"/>
              </w:rPr>
              <w:t>Resumen:</w:t>
            </w:r>
          </w:p>
        </w:tc>
        <w:tc>
          <w:tcPr>
            <w:tcW w:w="6465" w:type="dxa"/>
            <w:gridSpan w:val="2"/>
            <w:hideMark/>
          </w:tcPr>
          <w:p w:rsidR="008F0223" w:rsidRPr="00565386" w:rsidRDefault="008F0223" w:rsidP="00245C9C">
            <w:pPr>
              <w:spacing w:line="181" w:lineRule="atLeast"/>
              <w:rPr>
                <w:rFonts w:ascii="Times New Roman" w:eastAsia="Times New Roman" w:hAnsi="Times New Roman" w:cs="Times New Roman"/>
                <w:color w:val="000000"/>
                <w:sz w:val="24"/>
                <w:szCs w:val="24"/>
                <w:lang w:eastAsia="es-CR"/>
              </w:rPr>
            </w:pPr>
            <w:r>
              <w:rPr>
                <w:rFonts w:ascii="Times New Roman" w:hAnsi="Times New Roman" w:cs="Times New Roman"/>
                <w:sz w:val="24"/>
                <w:szCs w:val="24"/>
              </w:rPr>
              <w:t xml:space="preserve">Se </w:t>
            </w:r>
            <w:r w:rsidRPr="008F0223">
              <w:rPr>
                <w:rFonts w:ascii="Times New Roman" w:hAnsi="Times New Roman" w:cs="Times New Roman"/>
                <w:sz w:val="24"/>
                <w:szCs w:val="24"/>
              </w:rPr>
              <w:t>ordena al el Instituto Costarricense de Pesca y Acuicultura (Incopesca) incorporar criterios técnico-científicos actualizados, económicos y sociales en la fundamentación de las declaratorias de veda en el Golfo de Nicoya.</w:t>
            </w:r>
          </w:p>
        </w:tc>
      </w:tr>
      <w:tr w:rsidR="00F90E60" w:rsidRPr="00565386" w:rsidTr="00F90E60">
        <w:tc>
          <w:tcPr>
            <w:tcW w:w="2523" w:type="dxa"/>
            <w:shd w:val="clear" w:color="auto" w:fill="C6D9F1" w:themeFill="text2" w:themeFillTint="33"/>
            <w:hideMark/>
          </w:tcPr>
          <w:p w:rsidR="00F90E60" w:rsidRPr="00565386" w:rsidRDefault="00F90E60" w:rsidP="00245C9C">
            <w:pPr>
              <w:spacing w:line="181" w:lineRule="atLeast"/>
              <w:rPr>
                <w:rFonts w:ascii="Times New Roman" w:eastAsia="Times New Roman" w:hAnsi="Times New Roman" w:cs="Times New Roman"/>
                <w:color w:val="000000"/>
                <w:sz w:val="24"/>
                <w:szCs w:val="24"/>
                <w:lang w:eastAsia="es-CR"/>
              </w:rPr>
            </w:pPr>
            <w:r w:rsidRPr="00565386">
              <w:rPr>
                <w:rFonts w:ascii="Times New Roman" w:eastAsia="Times New Roman" w:hAnsi="Times New Roman" w:cs="Times New Roman"/>
                <w:color w:val="000000"/>
                <w:sz w:val="24"/>
                <w:szCs w:val="24"/>
                <w:bdr w:val="none" w:sz="0" w:space="0" w:color="auto" w:frame="1"/>
                <w:lang w:eastAsia="es-CR"/>
              </w:rPr>
              <w:t>Número de sentencia:</w:t>
            </w:r>
          </w:p>
        </w:tc>
        <w:tc>
          <w:tcPr>
            <w:tcW w:w="6465" w:type="dxa"/>
            <w:gridSpan w:val="2"/>
            <w:shd w:val="clear" w:color="auto" w:fill="C6D9F1" w:themeFill="text2" w:themeFillTint="33"/>
            <w:hideMark/>
          </w:tcPr>
          <w:p w:rsidR="00F90E60" w:rsidRPr="00565386" w:rsidRDefault="00F90E60" w:rsidP="0090799C">
            <w:pPr>
              <w:spacing w:line="181" w:lineRule="atLeast"/>
              <w:rPr>
                <w:rFonts w:ascii="Times New Roman" w:eastAsia="Times New Roman" w:hAnsi="Times New Roman" w:cs="Times New Roman"/>
                <w:color w:val="000000"/>
                <w:sz w:val="24"/>
                <w:szCs w:val="24"/>
                <w:lang w:eastAsia="es-CR"/>
              </w:rPr>
            </w:pPr>
            <w:r w:rsidRPr="00F90E60">
              <w:rPr>
                <w:rFonts w:ascii="Times New Roman" w:eastAsia="Times New Roman" w:hAnsi="Times New Roman" w:cs="Times New Roman"/>
                <w:color w:val="000000"/>
                <w:sz w:val="24"/>
                <w:szCs w:val="24"/>
                <w:bdr w:val="none" w:sz="0" w:space="0" w:color="auto" w:frame="1"/>
                <w:lang w:eastAsia="es-CR"/>
              </w:rPr>
              <w:t>2019-76</w:t>
            </w:r>
            <w:r w:rsidR="0090799C">
              <w:rPr>
                <w:rFonts w:ascii="Times New Roman" w:eastAsia="Times New Roman" w:hAnsi="Times New Roman" w:cs="Times New Roman"/>
                <w:color w:val="000000"/>
                <w:sz w:val="24"/>
                <w:szCs w:val="24"/>
                <w:bdr w:val="none" w:sz="0" w:space="0" w:color="auto" w:frame="1"/>
                <w:lang w:eastAsia="es-CR"/>
              </w:rPr>
              <w:t>92</w:t>
            </w:r>
          </w:p>
        </w:tc>
      </w:tr>
      <w:tr w:rsidR="00F90E60" w:rsidRPr="008F0223" w:rsidTr="00F90E60">
        <w:tc>
          <w:tcPr>
            <w:tcW w:w="2523" w:type="dxa"/>
            <w:hideMark/>
          </w:tcPr>
          <w:p w:rsidR="00F90E60" w:rsidRPr="00565386" w:rsidRDefault="00F90E60" w:rsidP="00245C9C">
            <w:pPr>
              <w:spacing w:line="181" w:lineRule="atLeast"/>
              <w:rPr>
                <w:rFonts w:ascii="Times New Roman" w:eastAsia="Times New Roman" w:hAnsi="Times New Roman" w:cs="Times New Roman"/>
                <w:color w:val="000000"/>
                <w:sz w:val="24"/>
                <w:szCs w:val="24"/>
                <w:lang w:eastAsia="es-CR"/>
              </w:rPr>
            </w:pPr>
            <w:r w:rsidRPr="00565386">
              <w:rPr>
                <w:rFonts w:ascii="Times New Roman" w:eastAsia="Times New Roman" w:hAnsi="Times New Roman" w:cs="Times New Roman"/>
                <w:color w:val="000000"/>
                <w:sz w:val="24"/>
                <w:szCs w:val="24"/>
                <w:bdr w:val="none" w:sz="0" w:space="0" w:color="auto" w:frame="1"/>
                <w:lang w:eastAsia="es-CR"/>
              </w:rPr>
              <w:t>Fecha de resolución:</w:t>
            </w:r>
          </w:p>
        </w:tc>
        <w:tc>
          <w:tcPr>
            <w:tcW w:w="6465" w:type="dxa"/>
            <w:gridSpan w:val="2"/>
            <w:hideMark/>
          </w:tcPr>
          <w:p w:rsidR="00F90E60" w:rsidRPr="008F0223" w:rsidRDefault="00F90E60" w:rsidP="0090799C">
            <w:pPr>
              <w:spacing w:line="181" w:lineRule="atLeast"/>
              <w:rPr>
                <w:rFonts w:ascii="Times New Roman" w:eastAsia="Times New Roman" w:hAnsi="Times New Roman" w:cs="Times New Roman"/>
                <w:color w:val="000000"/>
                <w:sz w:val="24"/>
                <w:szCs w:val="24"/>
                <w:lang w:eastAsia="es-CR"/>
              </w:rPr>
            </w:pPr>
            <w:r>
              <w:rPr>
                <w:rFonts w:ascii="Times New Roman" w:hAnsi="Times New Roman" w:cs="Times New Roman"/>
                <w:sz w:val="24"/>
                <w:szCs w:val="24"/>
              </w:rPr>
              <w:t>9:1</w:t>
            </w:r>
            <w:r w:rsidR="0090799C">
              <w:rPr>
                <w:rFonts w:ascii="Times New Roman" w:hAnsi="Times New Roman" w:cs="Times New Roman"/>
                <w:sz w:val="24"/>
                <w:szCs w:val="24"/>
              </w:rPr>
              <w:t>5</w:t>
            </w:r>
            <w:r>
              <w:rPr>
                <w:rFonts w:ascii="Times New Roman" w:hAnsi="Times New Roman" w:cs="Times New Roman"/>
                <w:sz w:val="24"/>
                <w:szCs w:val="24"/>
              </w:rPr>
              <w:t xml:space="preserve"> a.m.</w:t>
            </w:r>
            <w:r w:rsidRPr="008F0223">
              <w:rPr>
                <w:rFonts w:ascii="Times New Roman" w:hAnsi="Times New Roman" w:cs="Times New Roman"/>
                <w:sz w:val="24"/>
                <w:szCs w:val="24"/>
              </w:rPr>
              <w:t xml:space="preserve"> de</w:t>
            </w:r>
            <w:r>
              <w:rPr>
                <w:rFonts w:ascii="Times New Roman" w:hAnsi="Times New Roman" w:cs="Times New Roman"/>
                <w:sz w:val="24"/>
                <w:szCs w:val="24"/>
              </w:rPr>
              <w:t>l 3 de mayo</w:t>
            </w:r>
          </w:p>
        </w:tc>
      </w:tr>
      <w:tr w:rsidR="00F90E60" w:rsidRPr="00565386" w:rsidTr="00F90E60">
        <w:tc>
          <w:tcPr>
            <w:tcW w:w="2523" w:type="dxa"/>
            <w:shd w:val="clear" w:color="auto" w:fill="D9D9D9" w:themeFill="background1" w:themeFillShade="D9"/>
            <w:hideMark/>
          </w:tcPr>
          <w:p w:rsidR="00F90E60" w:rsidRPr="00565386" w:rsidRDefault="00F90E60" w:rsidP="00245C9C">
            <w:pPr>
              <w:spacing w:line="181" w:lineRule="atLeast"/>
              <w:rPr>
                <w:rFonts w:ascii="Times New Roman" w:eastAsia="Times New Roman" w:hAnsi="Times New Roman" w:cs="Times New Roman"/>
                <w:color w:val="000000"/>
                <w:sz w:val="24"/>
                <w:szCs w:val="24"/>
                <w:lang w:eastAsia="es-CR"/>
              </w:rPr>
            </w:pPr>
            <w:r w:rsidRPr="00565386">
              <w:rPr>
                <w:rFonts w:ascii="Times New Roman" w:eastAsia="Times New Roman" w:hAnsi="Times New Roman" w:cs="Times New Roman"/>
                <w:color w:val="000000"/>
                <w:sz w:val="24"/>
                <w:szCs w:val="24"/>
                <w:bdr w:val="none" w:sz="0" w:space="0" w:color="auto" w:frame="1"/>
                <w:lang w:eastAsia="es-CR"/>
              </w:rPr>
              <w:t>Temática:</w:t>
            </w:r>
          </w:p>
        </w:tc>
        <w:tc>
          <w:tcPr>
            <w:tcW w:w="6465" w:type="dxa"/>
            <w:gridSpan w:val="2"/>
            <w:shd w:val="clear" w:color="auto" w:fill="D9D9D9" w:themeFill="background1" w:themeFillShade="D9"/>
            <w:hideMark/>
          </w:tcPr>
          <w:p w:rsidR="00F90E60" w:rsidRPr="00565386" w:rsidRDefault="0090799C" w:rsidP="00245C9C">
            <w:pPr>
              <w:spacing w:line="181" w:lineRule="atLeast"/>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Recurso hídrico</w:t>
            </w:r>
          </w:p>
        </w:tc>
      </w:tr>
      <w:tr w:rsidR="00F90E60" w:rsidRPr="00565386" w:rsidTr="00F90E60">
        <w:tc>
          <w:tcPr>
            <w:tcW w:w="2523" w:type="dxa"/>
            <w:hideMark/>
          </w:tcPr>
          <w:p w:rsidR="00F90E60" w:rsidRPr="00565386" w:rsidRDefault="00F90E60" w:rsidP="00245C9C">
            <w:pPr>
              <w:spacing w:line="181" w:lineRule="atLeast"/>
              <w:rPr>
                <w:rFonts w:ascii="Times New Roman" w:eastAsia="Times New Roman" w:hAnsi="Times New Roman" w:cs="Times New Roman"/>
                <w:color w:val="000000"/>
                <w:sz w:val="24"/>
                <w:szCs w:val="24"/>
                <w:lang w:eastAsia="es-CR"/>
              </w:rPr>
            </w:pPr>
            <w:r w:rsidRPr="00565386">
              <w:rPr>
                <w:rFonts w:ascii="Times New Roman" w:eastAsia="Times New Roman" w:hAnsi="Times New Roman" w:cs="Times New Roman"/>
                <w:color w:val="000000"/>
                <w:sz w:val="24"/>
                <w:szCs w:val="24"/>
                <w:bdr w:val="none" w:sz="0" w:space="0" w:color="auto" w:frame="1"/>
                <w:lang w:eastAsia="es-CR"/>
              </w:rPr>
              <w:t>Tipo de asunto:</w:t>
            </w:r>
          </w:p>
        </w:tc>
        <w:tc>
          <w:tcPr>
            <w:tcW w:w="6465" w:type="dxa"/>
            <w:gridSpan w:val="2"/>
            <w:hideMark/>
          </w:tcPr>
          <w:p w:rsidR="00F90E60" w:rsidRPr="00565386" w:rsidRDefault="00F90E60" w:rsidP="00245C9C">
            <w:pPr>
              <w:spacing w:line="181" w:lineRule="atLeast"/>
              <w:rPr>
                <w:rFonts w:ascii="Times New Roman" w:eastAsia="Times New Roman" w:hAnsi="Times New Roman" w:cs="Times New Roman"/>
                <w:color w:val="000000"/>
                <w:sz w:val="24"/>
                <w:szCs w:val="24"/>
                <w:lang w:eastAsia="es-CR"/>
              </w:rPr>
            </w:pPr>
            <w:r w:rsidRPr="00565386">
              <w:rPr>
                <w:rFonts w:ascii="Times New Roman" w:eastAsia="Times New Roman" w:hAnsi="Times New Roman" w:cs="Times New Roman"/>
                <w:color w:val="000000"/>
                <w:sz w:val="24"/>
                <w:szCs w:val="24"/>
                <w:bdr w:val="none" w:sz="0" w:space="0" w:color="auto" w:frame="1"/>
                <w:lang w:eastAsia="es-CR"/>
              </w:rPr>
              <w:t>Recurso de amparo</w:t>
            </w:r>
          </w:p>
        </w:tc>
      </w:tr>
      <w:tr w:rsidR="00F90E60" w:rsidRPr="00565386" w:rsidTr="00F90E60">
        <w:tc>
          <w:tcPr>
            <w:tcW w:w="2523" w:type="dxa"/>
            <w:hideMark/>
          </w:tcPr>
          <w:p w:rsidR="00F90E60" w:rsidRPr="00565386" w:rsidRDefault="00F90E60" w:rsidP="00245C9C">
            <w:pPr>
              <w:spacing w:line="181" w:lineRule="atLeast"/>
              <w:rPr>
                <w:rFonts w:ascii="Times New Roman" w:eastAsia="Times New Roman" w:hAnsi="Times New Roman" w:cs="Times New Roman"/>
                <w:color w:val="000000"/>
                <w:sz w:val="24"/>
                <w:szCs w:val="24"/>
                <w:lang w:eastAsia="es-CR"/>
              </w:rPr>
            </w:pPr>
            <w:r w:rsidRPr="00565386">
              <w:rPr>
                <w:rFonts w:ascii="Times New Roman" w:eastAsia="Times New Roman" w:hAnsi="Times New Roman" w:cs="Times New Roman"/>
                <w:color w:val="000000"/>
                <w:sz w:val="24"/>
                <w:szCs w:val="24"/>
                <w:bdr w:val="none" w:sz="0" w:space="0" w:color="auto" w:frame="1"/>
                <w:lang w:eastAsia="es-CR"/>
              </w:rPr>
              <w:t>Resumen:</w:t>
            </w:r>
          </w:p>
        </w:tc>
        <w:tc>
          <w:tcPr>
            <w:tcW w:w="6465" w:type="dxa"/>
            <w:gridSpan w:val="2"/>
            <w:hideMark/>
          </w:tcPr>
          <w:p w:rsidR="00F90E60" w:rsidRPr="0090799C" w:rsidRDefault="0090799C" w:rsidP="0090799C">
            <w:pPr>
              <w:spacing w:line="181" w:lineRule="atLeast"/>
              <w:rPr>
                <w:rFonts w:ascii="Times New Roman" w:eastAsia="Times New Roman" w:hAnsi="Times New Roman" w:cs="Times New Roman"/>
                <w:color w:val="000000"/>
                <w:sz w:val="24"/>
                <w:szCs w:val="24"/>
                <w:lang w:eastAsia="es-CR"/>
              </w:rPr>
            </w:pPr>
            <w:r>
              <w:rPr>
                <w:rFonts w:ascii="Times New Roman" w:hAnsi="Times New Roman" w:cs="Times New Roman"/>
                <w:sz w:val="24"/>
                <w:szCs w:val="24"/>
              </w:rPr>
              <w:t>Se ordena en</w:t>
            </w:r>
            <w:r w:rsidRPr="0090799C">
              <w:rPr>
                <w:rFonts w:ascii="Times New Roman" w:hAnsi="Times New Roman" w:cs="Times New Roman"/>
                <w:sz w:val="24"/>
                <w:szCs w:val="24"/>
              </w:rPr>
              <w:t xml:space="preserve"> </w:t>
            </w:r>
            <w:r>
              <w:rPr>
                <w:rFonts w:ascii="Times New Roman" w:hAnsi="Times New Roman" w:cs="Times New Roman"/>
                <w:sz w:val="24"/>
                <w:szCs w:val="24"/>
              </w:rPr>
              <w:t>un plazo no mayor a 18 meses definir e implementar</w:t>
            </w:r>
            <w:r w:rsidRPr="0090799C">
              <w:rPr>
                <w:rFonts w:ascii="Times New Roman" w:hAnsi="Times New Roman" w:cs="Times New Roman"/>
                <w:sz w:val="24"/>
                <w:szCs w:val="24"/>
              </w:rPr>
              <w:t xml:space="preserve"> el servicio de agua potable en la comunidad Playa Ballena de Osa, ya sea a través de la conexión con la ASADA de Ojochal como se ha propuesto o bien, por algún otro mecanismo que, dentro del ámbito de la legalidad, resulte procedente. Asimismo, mientras sucede lo anterior, deberá el Instituto Costarricense de Acueductos y Alcantarillados garantizar la periódica dotación del líquido, mediante el suministro por el medio que resulte más apropiado.</w:t>
            </w:r>
          </w:p>
        </w:tc>
      </w:tr>
    </w:tbl>
    <w:p w:rsidR="00565386" w:rsidRDefault="00565386" w:rsidP="00534506">
      <w:pPr>
        <w:jc w:val="both"/>
        <w:rPr>
          <w:rFonts w:ascii="Times New Roman" w:hAnsi="Times New Roman"/>
          <w:b/>
        </w:rPr>
      </w:pPr>
    </w:p>
    <w:p w:rsidR="009E2DE3" w:rsidRPr="005D10D1" w:rsidRDefault="00534506" w:rsidP="005D10D1">
      <w:pPr>
        <w:jc w:val="both"/>
        <w:rPr>
          <w:rFonts w:ascii="Times New Roman" w:hAnsi="Times New Roman"/>
          <w:b/>
        </w:rPr>
      </w:pPr>
      <w:r>
        <w:rPr>
          <w:rFonts w:ascii="Times New Roman" w:hAnsi="Times New Roman"/>
          <w:b/>
        </w:rPr>
        <w:t xml:space="preserve">Dirección web para búsqueda de jurisprudencia: </w:t>
      </w:r>
      <w:hyperlink r:id="rId6" w:tgtFrame="_blank" w:history="1">
        <w:r>
          <w:rPr>
            <w:rStyle w:val="Hipervnculo"/>
            <w:shd w:val="clear" w:color="auto" w:fill="FFFFFF"/>
          </w:rPr>
          <w:t>http://nexuspj.poder-judicial.go.cr/</w:t>
        </w:r>
      </w:hyperlink>
    </w:p>
    <w:p w:rsidR="005D10D1" w:rsidRDefault="005D10D1" w:rsidP="005D10D1">
      <w:pPr>
        <w:jc w:val="center"/>
      </w:pPr>
      <w:r w:rsidRPr="005D10D1">
        <w:drawing>
          <wp:inline distT="0" distB="0" distL="0" distR="0">
            <wp:extent cx="1250191" cy="1166033"/>
            <wp:effectExtent l="19050" t="0" r="7109" b="0"/>
            <wp:docPr id="5" name="Imagen 2" descr="C:\Users\amatab\Desktop\Logo_Sala_Constitucional_30A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atab\Desktop\Logo_Sala_Constitucional_30AN(1).png"/>
                    <pic:cNvPicPr>
                      <a:picLocks noChangeAspect="1" noChangeArrowheads="1"/>
                    </pic:cNvPicPr>
                  </pic:nvPicPr>
                  <pic:blipFill>
                    <a:blip r:embed="rId7" cstate="print"/>
                    <a:srcRect/>
                    <a:stretch>
                      <a:fillRect/>
                    </a:stretch>
                  </pic:blipFill>
                  <pic:spPr bwMode="auto">
                    <a:xfrm>
                      <a:off x="0" y="0"/>
                      <a:ext cx="1251828" cy="1167560"/>
                    </a:xfrm>
                    <a:prstGeom prst="rect">
                      <a:avLst/>
                    </a:prstGeom>
                    <a:noFill/>
                    <a:ln w="9525">
                      <a:noFill/>
                      <a:miter lim="800000"/>
                      <a:headEnd/>
                      <a:tailEnd/>
                    </a:ln>
                  </pic:spPr>
                </pic:pic>
              </a:graphicData>
            </a:graphic>
          </wp:inline>
        </w:drawing>
      </w:r>
    </w:p>
    <w:p w:rsidR="005D10D1" w:rsidRDefault="005D10D1" w:rsidP="005D10D1">
      <w:pPr>
        <w:jc w:val="center"/>
      </w:pPr>
      <w:r>
        <w:t>Sala Constitucional</w:t>
      </w:r>
    </w:p>
    <w:p w:rsidR="005D10D1" w:rsidRDefault="005D10D1" w:rsidP="005D10D1">
      <w:pPr>
        <w:jc w:val="center"/>
      </w:pPr>
      <w:r>
        <w:t xml:space="preserve">Garante de la dignidad, los derechos y libertad de las personas </w:t>
      </w:r>
    </w:p>
    <w:sectPr w:rsidR="005D10D1" w:rsidSect="00F82D12">
      <w:head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2A1" w:rsidRDefault="009B32A1" w:rsidP="00E3713A">
      <w:pPr>
        <w:spacing w:after="0" w:line="240" w:lineRule="auto"/>
      </w:pPr>
      <w:r>
        <w:separator/>
      </w:r>
    </w:p>
  </w:endnote>
  <w:endnote w:type="continuationSeparator" w:id="0">
    <w:p w:rsidR="009B32A1" w:rsidRDefault="009B32A1" w:rsidP="00E371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2A1" w:rsidRDefault="009B32A1" w:rsidP="00E3713A">
      <w:pPr>
        <w:spacing w:after="0" w:line="240" w:lineRule="auto"/>
      </w:pPr>
      <w:r>
        <w:separator/>
      </w:r>
    </w:p>
  </w:footnote>
  <w:footnote w:type="continuationSeparator" w:id="0">
    <w:p w:rsidR="009B32A1" w:rsidRDefault="009B32A1" w:rsidP="00E371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899034"/>
      <w:docPartObj>
        <w:docPartGallery w:val="Page Numbers (Top of Page)"/>
        <w:docPartUnique/>
      </w:docPartObj>
    </w:sdtPr>
    <w:sdtContent>
      <w:p w:rsidR="00E3713A" w:rsidRDefault="00F2027C">
        <w:pPr>
          <w:pStyle w:val="Encabezado"/>
          <w:jc w:val="right"/>
        </w:pPr>
        <w:fldSimple w:instr=" PAGE   \* MERGEFORMAT ">
          <w:r w:rsidR="005D10D1">
            <w:rPr>
              <w:noProof/>
            </w:rPr>
            <w:t>1</w:t>
          </w:r>
        </w:fldSimple>
      </w:p>
    </w:sdtContent>
  </w:sdt>
  <w:p w:rsidR="00E3713A" w:rsidRDefault="00E3713A">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1"/>
    <w:footnote w:id="0"/>
  </w:footnotePr>
  <w:endnotePr>
    <w:endnote w:id="-1"/>
    <w:endnote w:id="0"/>
  </w:endnotePr>
  <w:compat/>
  <w:rsids>
    <w:rsidRoot w:val="002F340C"/>
    <w:rsid w:val="00034373"/>
    <w:rsid w:val="002303D9"/>
    <w:rsid w:val="00264080"/>
    <w:rsid w:val="002F340C"/>
    <w:rsid w:val="00340E26"/>
    <w:rsid w:val="00353381"/>
    <w:rsid w:val="00510CF8"/>
    <w:rsid w:val="00534506"/>
    <w:rsid w:val="00565386"/>
    <w:rsid w:val="005D10D1"/>
    <w:rsid w:val="007319C8"/>
    <w:rsid w:val="007F489A"/>
    <w:rsid w:val="0080060B"/>
    <w:rsid w:val="008555E3"/>
    <w:rsid w:val="008F0223"/>
    <w:rsid w:val="0090799C"/>
    <w:rsid w:val="009B32A1"/>
    <w:rsid w:val="00A12CC5"/>
    <w:rsid w:val="00B64184"/>
    <w:rsid w:val="00C543B7"/>
    <w:rsid w:val="00CB7F8B"/>
    <w:rsid w:val="00D071FA"/>
    <w:rsid w:val="00D94B18"/>
    <w:rsid w:val="00DB2881"/>
    <w:rsid w:val="00E3713A"/>
    <w:rsid w:val="00F2027C"/>
    <w:rsid w:val="00F407FD"/>
    <w:rsid w:val="00F82D12"/>
    <w:rsid w:val="00F90E60"/>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D1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F34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E371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713A"/>
  </w:style>
  <w:style w:type="paragraph" w:styleId="Piedepgina">
    <w:name w:val="footer"/>
    <w:basedOn w:val="Normal"/>
    <w:link w:val="PiedepginaCar"/>
    <w:uiPriority w:val="99"/>
    <w:unhideWhenUsed/>
    <w:rsid w:val="00E371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713A"/>
  </w:style>
  <w:style w:type="character" w:styleId="Hipervnculo">
    <w:name w:val="Hyperlink"/>
    <w:rsid w:val="00534506"/>
    <w:rPr>
      <w:color w:val="339999"/>
      <w:u w:val="single"/>
    </w:rPr>
  </w:style>
  <w:style w:type="paragraph" w:customStyle="1" w:styleId="Car">
    <w:name w:val="Car"/>
    <w:basedOn w:val="Normal"/>
    <w:semiHidden/>
    <w:rsid w:val="00534506"/>
    <w:pPr>
      <w:spacing w:after="160" w:line="240" w:lineRule="exact"/>
    </w:pPr>
    <w:rPr>
      <w:rFonts w:ascii="Verdana" w:eastAsia="Times New Roman" w:hAnsi="Verdana" w:cs="Arial"/>
      <w:color w:val="000000"/>
      <w:sz w:val="20"/>
      <w:szCs w:val="21"/>
      <w:lang w:val="en-AU"/>
    </w:rPr>
  </w:style>
  <w:style w:type="paragraph" w:styleId="NormalWeb">
    <w:name w:val="Normal (Web)"/>
    <w:basedOn w:val="Normal"/>
    <w:uiPriority w:val="99"/>
    <w:unhideWhenUsed/>
    <w:rsid w:val="00565386"/>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Textodeglobo">
    <w:name w:val="Balloon Text"/>
    <w:basedOn w:val="Normal"/>
    <w:link w:val="TextodegloboCar"/>
    <w:uiPriority w:val="99"/>
    <w:semiHidden/>
    <w:unhideWhenUsed/>
    <w:rsid w:val="005D10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0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270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exuspj.poder-judicial.go.c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871</Words>
  <Characters>4793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amatab</dc:creator>
  <cp:lastModifiedBy>amatab</cp:lastModifiedBy>
  <cp:revision>3</cp:revision>
  <cp:lastPrinted>2019-05-15T20:12:00Z</cp:lastPrinted>
  <dcterms:created xsi:type="dcterms:W3CDTF">2019-05-20T19:48:00Z</dcterms:created>
  <dcterms:modified xsi:type="dcterms:W3CDTF">2019-06-07T19:37:00Z</dcterms:modified>
</cp:coreProperties>
</file>