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A2" w:rsidRDefault="00D643A2" w:rsidP="00376D27">
      <w:pPr>
        <w:jc w:val="both"/>
        <w:rPr>
          <w:b/>
        </w:rPr>
      </w:pPr>
      <w:r w:rsidRPr="00CF4053">
        <w:rPr>
          <w:b/>
          <w:noProof/>
          <w:lang w:eastAsia="es-CR"/>
        </w:rPr>
        <w:drawing>
          <wp:inline distT="0" distB="0" distL="0" distR="0">
            <wp:extent cx="5013740" cy="1272845"/>
            <wp:effectExtent l="19050" t="0" r="0" b="0"/>
            <wp:docPr id="1" name="Imagen 1" descr="C:\Users\amatab\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tab\Desktop\image001.jpg"/>
                    <pic:cNvPicPr>
                      <a:picLocks noChangeAspect="1" noChangeArrowheads="1"/>
                    </pic:cNvPicPr>
                  </pic:nvPicPr>
                  <pic:blipFill>
                    <a:blip r:embed="rId7"/>
                    <a:srcRect/>
                    <a:stretch>
                      <a:fillRect/>
                    </a:stretch>
                  </pic:blipFill>
                  <pic:spPr bwMode="auto">
                    <a:xfrm>
                      <a:off x="0" y="0"/>
                      <a:ext cx="5012847" cy="1272618"/>
                    </a:xfrm>
                    <a:prstGeom prst="rect">
                      <a:avLst/>
                    </a:prstGeom>
                    <a:noFill/>
                    <a:ln w="9525">
                      <a:noFill/>
                      <a:miter lim="800000"/>
                      <a:headEnd/>
                      <a:tailEnd/>
                    </a:ln>
                  </pic:spPr>
                </pic:pic>
              </a:graphicData>
            </a:graphic>
          </wp:inline>
        </w:drawing>
      </w:r>
    </w:p>
    <w:p w:rsidR="00D643A2" w:rsidRDefault="00D643A2" w:rsidP="00376D27">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SC-CP-</w:t>
      </w:r>
      <w:r w:rsidR="00376D27">
        <w:rPr>
          <w:rFonts w:ascii="Calibri" w:hAnsi="Calibri"/>
          <w:color w:val="000000"/>
          <w:sz w:val="28"/>
          <w:szCs w:val="28"/>
          <w:lang w:val="es-ES"/>
        </w:rPr>
        <w:t>02</w:t>
      </w:r>
      <w:r>
        <w:rPr>
          <w:rFonts w:ascii="Calibri" w:hAnsi="Calibri"/>
          <w:color w:val="000000"/>
          <w:sz w:val="28"/>
          <w:szCs w:val="28"/>
          <w:lang w:val="es-ES"/>
        </w:rPr>
        <w:t>0</w:t>
      </w:r>
      <w:r w:rsidR="00376D27">
        <w:rPr>
          <w:rFonts w:ascii="Calibri" w:hAnsi="Calibri"/>
          <w:color w:val="000000"/>
          <w:sz w:val="28"/>
          <w:szCs w:val="28"/>
          <w:lang w:val="es-ES"/>
        </w:rPr>
        <w:t>4</w:t>
      </w:r>
      <w:r>
        <w:rPr>
          <w:rFonts w:ascii="Calibri" w:hAnsi="Calibri"/>
          <w:color w:val="000000"/>
          <w:sz w:val="28"/>
          <w:szCs w:val="28"/>
          <w:lang w:val="es-ES"/>
        </w:rPr>
        <w:t>19</w:t>
      </w:r>
    </w:p>
    <w:p w:rsidR="00D643A2" w:rsidRPr="002A26C0" w:rsidRDefault="00D643A2" w:rsidP="00376D27">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 xml:space="preserve">San José, </w:t>
      </w:r>
      <w:r w:rsidR="00376D27">
        <w:rPr>
          <w:rFonts w:ascii="Calibri" w:hAnsi="Calibri"/>
          <w:color w:val="000000"/>
          <w:sz w:val="28"/>
          <w:szCs w:val="28"/>
          <w:lang w:val="es-ES"/>
        </w:rPr>
        <w:t xml:space="preserve">2 </w:t>
      </w:r>
      <w:r>
        <w:rPr>
          <w:rFonts w:ascii="Calibri" w:hAnsi="Calibri"/>
          <w:color w:val="000000"/>
          <w:sz w:val="28"/>
          <w:szCs w:val="28"/>
          <w:lang w:val="es-ES"/>
        </w:rPr>
        <w:t xml:space="preserve">de </w:t>
      </w:r>
      <w:r w:rsidR="00376D27">
        <w:rPr>
          <w:rFonts w:ascii="Calibri" w:hAnsi="Calibri"/>
          <w:color w:val="000000"/>
          <w:sz w:val="28"/>
          <w:szCs w:val="28"/>
          <w:lang w:val="es-ES"/>
        </w:rPr>
        <w:t>abril</w:t>
      </w:r>
      <w:r>
        <w:rPr>
          <w:rFonts w:ascii="Calibri" w:hAnsi="Calibri"/>
          <w:color w:val="000000"/>
          <w:sz w:val="28"/>
          <w:szCs w:val="28"/>
          <w:lang w:val="es-ES"/>
        </w:rPr>
        <w:t xml:space="preserve"> de 2019</w:t>
      </w:r>
      <w:bookmarkStart w:id="0" w:name="_GoBack"/>
      <w:bookmarkEnd w:id="0"/>
    </w:p>
    <w:p w:rsidR="00D643A2" w:rsidRDefault="00D643A2" w:rsidP="00376D27">
      <w:pPr>
        <w:spacing w:line="240" w:lineRule="auto"/>
        <w:jc w:val="both"/>
        <w:rPr>
          <w:rFonts w:ascii="Arial" w:hAnsi="Arial" w:cs="Arial"/>
          <w:b/>
          <w:sz w:val="28"/>
          <w:szCs w:val="28"/>
        </w:rPr>
      </w:pPr>
    </w:p>
    <w:p w:rsidR="00D643A2" w:rsidRPr="006D6A9C" w:rsidRDefault="00D643A2" w:rsidP="00376D27">
      <w:pPr>
        <w:spacing w:line="240" w:lineRule="auto"/>
        <w:jc w:val="center"/>
        <w:rPr>
          <w:rFonts w:ascii="Arial" w:hAnsi="Arial" w:cs="Arial"/>
          <w:b/>
          <w:sz w:val="28"/>
          <w:szCs w:val="28"/>
        </w:rPr>
      </w:pPr>
      <w:r w:rsidRPr="006D6A9C">
        <w:rPr>
          <w:rFonts w:ascii="Arial" w:hAnsi="Arial" w:cs="Arial"/>
          <w:b/>
          <w:sz w:val="28"/>
          <w:szCs w:val="28"/>
        </w:rPr>
        <w:t>COMUNICADO DE PRENSA</w:t>
      </w:r>
    </w:p>
    <w:p w:rsidR="00D643A2" w:rsidRPr="00A16D22" w:rsidRDefault="00A16D22" w:rsidP="00376D27">
      <w:pPr>
        <w:jc w:val="center"/>
        <w:rPr>
          <w:rFonts w:ascii="Arial" w:hAnsi="Arial" w:cs="Arial"/>
          <w:b/>
          <w:sz w:val="28"/>
          <w:szCs w:val="28"/>
          <w:lang w:val="es-ES"/>
        </w:rPr>
      </w:pPr>
      <w:r w:rsidRPr="00A16D22">
        <w:rPr>
          <w:rFonts w:ascii="Arial" w:hAnsi="Arial" w:cs="Arial"/>
          <w:b/>
          <w:sz w:val="28"/>
          <w:szCs w:val="28"/>
        </w:rPr>
        <w:t>Sala Constitucional garantiza derecho a la educación de niño con autismo</w:t>
      </w:r>
    </w:p>
    <w:p w:rsidR="009E2DE3" w:rsidRPr="00A16D22" w:rsidRDefault="00A16D22" w:rsidP="00376D27">
      <w:pPr>
        <w:pStyle w:val="Prrafodelista"/>
        <w:numPr>
          <w:ilvl w:val="0"/>
          <w:numId w:val="1"/>
        </w:numPr>
        <w:spacing w:line="240" w:lineRule="auto"/>
        <w:jc w:val="both"/>
      </w:pPr>
      <w:r w:rsidRPr="00A16D22">
        <w:rPr>
          <w:rFonts w:ascii="Arial" w:hAnsi="Arial" w:cs="Arial"/>
          <w:i/>
          <w:sz w:val="24"/>
          <w:szCs w:val="24"/>
        </w:rPr>
        <w:t>Tribunal ordena al MEP asignar asistente a estudiante y trasladarlo a un grupo más pequeño</w:t>
      </w:r>
    </w:p>
    <w:p w:rsidR="00A16D22" w:rsidRDefault="00A16D22" w:rsidP="00376D27">
      <w:pPr>
        <w:pStyle w:val="Prrafodelista"/>
        <w:spacing w:line="240" w:lineRule="auto"/>
        <w:jc w:val="both"/>
      </w:pPr>
    </w:p>
    <w:p w:rsidR="00A16D22" w:rsidRPr="00F71B61" w:rsidRDefault="00A16D22" w:rsidP="00376D27">
      <w:pPr>
        <w:jc w:val="both"/>
        <w:rPr>
          <w:rFonts w:ascii="Arial" w:hAnsi="Arial" w:cs="Arial"/>
          <w:sz w:val="24"/>
          <w:szCs w:val="24"/>
        </w:rPr>
      </w:pPr>
      <w:r w:rsidRPr="00F71B61">
        <w:rPr>
          <w:rFonts w:ascii="Arial" w:hAnsi="Arial" w:cs="Arial"/>
          <w:sz w:val="24"/>
          <w:szCs w:val="24"/>
        </w:rPr>
        <w:t xml:space="preserve">La Sala Constitucional, garante de la dignidad, derechos y libertad de las personas; declaró con lugar un recurso de amparo interpuesto a favor de un niño </w:t>
      </w:r>
      <w:r w:rsidR="00E075FE">
        <w:rPr>
          <w:rFonts w:ascii="Arial" w:hAnsi="Arial" w:cs="Arial"/>
          <w:sz w:val="24"/>
          <w:szCs w:val="24"/>
        </w:rPr>
        <w:t xml:space="preserve">con discapacidad, </w:t>
      </w:r>
      <w:r w:rsidRPr="00F71B61">
        <w:rPr>
          <w:rFonts w:ascii="Arial" w:hAnsi="Arial" w:cs="Arial"/>
          <w:sz w:val="24"/>
          <w:szCs w:val="24"/>
        </w:rPr>
        <w:t>autismo</w:t>
      </w:r>
      <w:r w:rsidR="007F6EF8" w:rsidRPr="00F71B61">
        <w:rPr>
          <w:rFonts w:ascii="Arial" w:hAnsi="Arial" w:cs="Arial"/>
          <w:sz w:val="24"/>
          <w:szCs w:val="24"/>
        </w:rPr>
        <w:t xml:space="preserve"> y epilepsia</w:t>
      </w:r>
      <w:r w:rsidRPr="00F71B61">
        <w:rPr>
          <w:rFonts w:ascii="Arial" w:hAnsi="Arial" w:cs="Arial"/>
          <w:sz w:val="24"/>
          <w:szCs w:val="24"/>
        </w:rPr>
        <w:t xml:space="preserve"> cuyo derecho fundamental a la educación fue vulnerado.</w:t>
      </w:r>
    </w:p>
    <w:p w:rsidR="00A16D22" w:rsidRPr="00F71B61" w:rsidRDefault="00A16D22" w:rsidP="00376D27">
      <w:pPr>
        <w:jc w:val="both"/>
        <w:rPr>
          <w:rFonts w:ascii="Arial" w:hAnsi="Arial" w:cs="Arial"/>
          <w:sz w:val="24"/>
          <w:szCs w:val="24"/>
        </w:rPr>
      </w:pPr>
      <w:r w:rsidRPr="00F71B61">
        <w:rPr>
          <w:rFonts w:ascii="Arial" w:hAnsi="Arial" w:cs="Arial"/>
          <w:sz w:val="24"/>
          <w:szCs w:val="24"/>
        </w:rPr>
        <w:t>En el voto</w:t>
      </w:r>
      <w:r w:rsidR="00E075FE">
        <w:rPr>
          <w:rFonts w:ascii="Arial" w:hAnsi="Arial" w:cs="Arial"/>
          <w:sz w:val="24"/>
          <w:szCs w:val="24"/>
        </w:rPr>
        <w:t xml:space="preserve"> número</w:t>
      </w:r>
      <w:r w:rsidRPr="00F71B61">
        <w:rPr>
          <w:rFonts w:ascii="Arial" w:hAnsi="Arial" w:cs="Arial"/>
          <w:sz w:val="24"/>
          <w:szCs w:val="24"/>
        </w:rPr>
        <w:t xml:space="preserve"> 2019</w:t>
      </w:r>
      <w:r w:rsidR="00E075FE">
        <w:rPr>
          <w:rFonts w:ascii="Arial" w:hAnsi="Arial" w:cs="Arial"/>
          <w:sz w:val="24"/>
          <w:szCs w:val="24"/>
        </w:rPr>
        <w:t>-</w:t>
      </w:r>
      <w:r w:rsidRPr="00F71B61">
        <w:rPr>
          <w:rFonts w:ascii="Arial" w:hAnsi="Arial" w:cs="Arial"/>
          <w:sz w:val="24"/>
          <w:szCs w:val="24"/>
        </w:rPr>
        <w:t>5956 de este martes 2 de abril, el Tribunal ordena al Ministerio de Educación Pública</w:t>
      </w:r>
      <w:r w:rsidR="00E075FE">
        <w:rPr>
          <w:rFonts w:ascii="Arial" w:hAnsi="Arial" w:cs="Arial"/>
          <w:sz w:val="24"/>
          <w:szCs w:val="24"/>
        </w:rPr>
        <w:t xml:space="preserve"> (MEP)</w:t>
      </w:r>
      <w:r w:rsidRPr="00F71B61">
        <w:rPr>
          <w:rFonts w:ascii="Arial" w:hAnsi="Arial" w:cs="Arial"/>
          <w:sz w:val="24"/>
          <w:szCs w:val="24"/>
        </w:rPr>
        <w:t xml:space="preserve"> asignarle a la Escuela Neuropsiquiátrica Infantil</w:t>
      </w:r>
      <w:r w:rsidR="007F6EF8" w:rsidRPr="00F71B61">
        <w:rPr>
          <w:rFonts w:ascii="Arial" w:hAnsi="Arial" w:cs="Arial"/>
          <w:sz w:val="24"/>
          <w:szCs w:val="24"/>
        </w:rPr>
        <w:t xml:space="preserve">, </w:t>
      </w:r>
      <w:r w:rsidRPr="00F71B61">
        <w:rPr>
          <w:rFonts w:ascii="Arial" w:hAnsi="Arial" w:cs="Arial"/>
          <w:sz w:val="24"/>
          <w:szCs w:val="24"/>
        </w:rPr>
        <w:t>donde cursa estudios el m</w:t>
      </w:r>
      <w:r w:rsidR="007F6EF8" w:rsidRPr="00F71B61">
        <w:rPr>
          <w:rFonts w:ascii="Arial" w:hAnsi="Arial" w:cs="Arial"/>
          <w:sz w:val="24"/>
          <w:szCs w:val="24"/>
        </w:rPr>
        <w:t>enor,</w:t>
      </w:r>
      <w:r w:rsidRPr="00F71B61">
        <w:rPr>
          <w:rFonts w:ascii="Arial" w:hAnsi="Arial" w:cs="Arial"/>
          <w:sz w:val="24"/>
          <w:szCs w:val="24"/>
        </w:rPr>
        <w:t xml:space="preserve"> al  menos un asistente de aula más</w:t>
      </w:r>
      <w:r w:rsidR="007F6EF8" w:rsidRPr="00F71B61">
        <w:rPr>
          <w:rFonts w:ascii="Arial" w:hAnsi="Arial" w:cs="Arial"/>
          <w:sz w:val="24"/>
          <w:szCs w:val="24"/>
        </w:rPr>
        <w:t>. También exige que se</w:t>
      </w:r>
      <w:r w:rsidRPr="00F71B61">
        <w:rPr>
          <w:rFonts w:ascii="Arial" w:hAnsi="Arial" w:cs="Arial"/>
          <w:sz w:val="24"/>
          <w:szCs w:val="24"/>
        </w:rPr>
        <w:t xml:space="preserve"> reubi</w:t>
      </w:r>
      <w:r w:rsidR="007F6EF8" w:rsidRPr="00F71B61">
        <w:rPr>
          <w:rFonts w:ascii="Arial" w:hAnsi="Arial" w:cs="Arial"/>
          <w:sz w:val="24"/>
          <w:szCs w:val="24"/>
        </w:rPr>
        <w:t>que al niño</w:t>
      </w:r>
      <w:r w:rsidRPr="00F71B61">
        <w:rPr>
          <w:rFonts w:ascii="Arial" w:hAnsi="Arial" w:cs="Arial"/>
          <w:sz w:val="24"/>
          <w:szCs w:val="24"/>
        </w:rPr>
        <w:t xml:space="preserve"> en un grupo con menos alumnos</w:t>
      </w:r>
      <w:r w:rsidR="007F6EF8" w:rsidRPr="00F71B61">
        <w:rPr>
          <w:rFonts w:ascii="Arial" w:hAnsi="Arial" w:cs="Arial"/>
          <w:sz w:val="24"/>
          <w:szCs w:val="24"/>
        </w:rPr>
        <w:t xml:space="preserve"> (actualmente está en uno de </w:t>
      </w:r>
      <w:r w:rsidR="00E075FE">
        <w:rPr>
          <w:rFonts w:ascii="Arial" w:hAnsi="Arial" w:cs="Arial"/>
          <w:sz w:val="24"/>
          <w:szCs w:val="24"/>
        </w:rPr>
        <w:t>cinco</w:t>
      </w:r>
      <w:r w:rsidR="007F6EF8" w:rsidRPr="00F71B61">
        <w:rPr>
          <w:rFonts w:ascii="Arial" w:hAnsi="Arial" w:cs="Arial"/>
          <w:sz w:val="24"/>
          <w:szCs w:val="24"/>
        </w:rPr>
        <w:t xml:space="preserve"> estudiantes)</w:t>
      </w:r>
      <w:r w:rsidRPr="00F71B61">
        <w:rPr>
          <w:rFonts w:ascii="Arial" w:hAnsi="Arial" w:cs="Arial"/>
          <w:sz w:val="24"/>
          <w:szCs w:val="24"/>
        </w:rPr>
        <w:t>, esto con el fin de que se le brinde una mejor atención acorde a sus necesidades especiales.</w:t>
      </w:r>
    </w:p>
    <w:p w:rsidR="00A16D22" w:rsidRPr="00F71B61" w:rsidRDefault="00686556" w:rsidP="00376D27">
      <w:pPr>
        <w:jc w:val="both"/>
        <w:rPr>
          <w:rFonts w:ascii="Arial" w:hAnsi="Arial" w:cs="Arial"/>
          <w:sz w:val="24"/>
          <w:szCs w:val="24"/>
        </w:rPr>
      </w:pPr>
      <w:r w:rsidRPr="00F71B61">
        <w:rPr>
          <w:rFonts w:ascii="Arial" w:hAnsi="Arial" w:cs="Arial"/>
          <w:sz w:val="24"/>
          <w:szCs w:val="24"/>
        </w:rPr>
        <w:t>Los asistentes de aula son las personas que colaboran con las maestras en labores varias como: dar comida, cambiar pañales…</w:t>
      </w:r>
    </w:p>
    <w:p w:rsidR="00A16D22" w:rsidRPr="00F71B61" w:rsidRDefault="00686556" w:rsidP="00376D27">
      <w:pPr>
        <w:jc w:val="both"/>
        <w:rPr>
          <w:rFonts w:ascii="Arial" w:hAnsi="Arial" w:cs="Arial"/>
          <w:color w:val="000000"/>
          <w:sz w:val="24"/>
          <w:szCs w:val="24"/>
        </w:rPr>
      </w:pPr>
      <w:r w:rsidRPr="00F71B61">
        <w:rPr>
          <w:rFonts w:ascii="Arial" w:hAnsi="Arial" w:cs="Arial"/>
          <w:sz w:val="24"/>
          <w:szCs w:val="24"/>
        </w:rPr>
        <w:t xml:space="preserve">El recurso fue presentado por </w:t>
      </w:r>
      <w:r w:rsidR="00A16D22" w:rsidRPr="00F71B61">
        <w:rPr>
          <w:rFonts w:ascii="Arial" w:hAnsi="Arial" w:cs="Arial"/>
          <w:sz w:val="24"/>
          <w:szCs w:val="24"/>
        </w:rPr>
        <w:t>la madre del niño</w:t>
      </w:r>
      <w:r w:rsidRPr="00F71B61">
        <w:rPr>
          <w:rFonts w:ascii="Arial" w:hAnsi="Arial" w:cs="Arial"/>
          <w:sz w:val="24"/>
          <w:szCs w:val="24"/>
        </w:rPr>
        <w:t xml:space="preserve">, quien relató que su hijo ha ido perdiendo poco a poco habilidades básicas tales como caminar y comer solo; además, el menor no habla y tiene problemas de circulación, por lo que su masa muscular se ha visto disminuida. Dada las circunstancias solicitó a las autoridades de la escuela </w:t>
      </w:r>
      <w:r w:rsidR="00024E2C" w:rsidRPr="00F71B61">
        <w:rPr>
          <w:rFonts w:ascii="Arial" w:hAnsi="Arial" w:cs="Arial"/>
          <w:sz w:val="24"/>
          <w:szCs w:val="24"/>
        </w:rPr>
        <w:t>que le nombraran</w:t>
      </w:r>
      <w:r w:rsidRPr="00F71B61">
        <w:rPr>
          <w:rFonts w:ascii="Arial" w:hAnsi="Arial" w:cs="Arial"/>
          <w:color w:val="000000"/>
          <w:sz w:val="24"/>
          <w:szCs w:val="24"/>
        </w:rPr>
        <w:t xml:space="preserve"> un asistente personal</w:t>
      </w:r>
      <w:r w:rsidR="00024E2C" w:rsidRPr="00F71B61">
        <w:rPr>
          <w:rFonts w:ascii="Arial" w:hAnsi="Arial" w:cs="Arial"/>
          <w:sz w:val="24"/>
          <w:szCs w:val="24"/>
        </w:rPr>
        <w:t>, según una recomendación hecha por el Hospital Nacional de Niños</w:t>
      </w:r>
      <w:r w:rsidRPr="00F71B61">
        <w:rPr>
          <w:rFonts w:ascii="Arial" w:hAnsi="Arial" w:cs="Arial"/>
          <w:color w:val="000000"/>
          <w:sz w:val="24"/>
          <w:szCs w:val="24"/>
        </w:rPr>
        <w:t xml:space="preserve">. </w:t>
      </w:r>
    </w:p>
    <w:p w:rsidR="00024E2C" w:rsidRPr="00F71B61" w:rsidRDefault="00024E2C" w:rsidP="00376D27">
      <w:pPr>
        <w:jc w:val="both"/>
        <w:rPr>
          <w:rFonts w:ascii="Arial" w:hAnsi="Arial" w:cs="Arial"/>
          <w:sz w:val="24"/>
          <w:szCs w:val="24"/>
        </w:rPr>
      </w:pPr>
      <w:r w:rsidRPr="00F71B61">
        <w:rPr>
          <w:rFonts w:ascii="Arial" w:hAnsi="Arial" w:cs="Arial"/>
          <w:sz w:val="24"/>
          <w:szCs w:val="24"/>
        </w:rPr>
        <w:lastRenderedPageBreak/>
        <w:t>Sin embargo, la Jefa del Departamento de Educación Especial del MEP denegó la petición, bajo el argumento de la figura de asistente de aula no está prevista por el Manual Descriptivo de Puesto, y, como solución,  recomendó el traslado del menor a otro centro educativo.</w:t>
      </w:r>
    </w:p>
    <w:p w:rsidR="00A16D22" w:rsidRPr="00F71B61" w:rsidRDefault="00A16D22" w:rsidP="00376D27">
      <w:pPr>
        <w:jc w:val="both"/>
        <w:rPr>
          <w:rFonts w:ascii="Arial" w:hAnsi="Arial" w:cs="Arial"/>
          <w:sz w:val="24"/>
          <w:szCs w:val="24"/>
        </w:rPr>
      </w:pPr>
      <w:r w:rsidRPr="00F71B61">
        <w:rPr>
          <w:rFonts w:ascii="Arial" w:hAnsi="Arial" w:cs="Arial"/>
          <w:sz w:val="24"/>
          <w:szCs w:val="24"/>
        </w:rPr>
        <w:t>La resolución, votada de forma unánime</w:t>
      </w:r>
      <w:r w:rsidR="00686556" w:rsidRPr="00F71B61">
        <w:rPr>
          <w:rFonts w:ascii="Arial" w:hAnsi="Arial" w:cs="Arial"/>
          <w:sz w:val="24"/>
          <w:szCs w:val="24"/>
        </w:rPr>
        <w:t xml:space="preserve"> por los magistrados y magistradas de la Sala Constitucional</w:t>
      </w:r>
      <w:r w:rsidRPr="00F71B61">
        <w:rPr>
          <w:rFonts w:ascii="Arial" w:hAnsi="Arial" w:cs="Arial"/>
          <w:sz w:val="24"/>
          <w:szCs w:val="24"/>
        </w:rPr>
        <w:t>,  señala que</w:t>
      </w:r>
      <w:r w:rsidR="00024E2C" w:rsidRPr="00F71B61">
        <w:rPr>
          <w:rFonts w:ascii="Arial" w:hAnsi="Arial" w:cs="Arial"/>
          <w:sz w:val="24"/>
          <w:szCs w:val="24"/>
        </w:rPr>
        <w:t xml:space="preserve"> si bien no es factible la asignación de un asistente personal para cada menor con discapacidad, por la dificultad presupuestaria que ello implicaría, s</w:t>
      </w:r>
      <w:r w:rsidR="00E9250D">
        <w:rPr>
          <w:rFonts w:ascii="Arial" w:hAnsi="Arial" w:cs="Arial"/>
          <w:sz w:val="24"/>
          <w:szCs w:val="24"/>
        </w:rPr>
        <w:t>í</w:t>
      </w:r>
      <w:r w:rsidR="00024E2C" w:rsidRPr="00F71B61">
        <w:rPr>
          <w:rFonts w:ascii="Arial" w:hAnsi="Arial" w:cs="Arial"/>
          <w:sz w:val="24"/>
          <w:szCs w:val="24"/>
        </w:rPr>
        <w:t xml:space="preserve"> existe la posibilidad de que el MEP dote a la Escuela Neuropsiquiátrica Infantil de más de estos funcionarios.</w:t>
      </w:r>
    </w:p>
    <w:p w:rsidR="00024E2C" w:rsidRPr="00F71B61" w:rsidRDefault="00024E2C" w:rsidP="00376D27">
      <w:pPr>
        <w:jc w:val="both"/>
        <w:rPr>
          <w:rFonts w:ascii="Arial" w:hAnsi="Arial" w:cs="Arial"/>
          <w:sz w:val="24"/>
          <w:szCs w:val="24"/>
        </w:rPr>
      </w:pPr>
      <w:r w:rsidRPr="00F71B61">
        <w:rPr>
          <w:rFonts w:ascii="Arial" w:hAnsi="Arial" w:cs="Arial"/>
          <w:sz w:val="24"/>
          <w:szCs w:val="24"/>
        </w:rPr>
        <w:t>Además, según quedó demostrado, el centro educativo al que se recomendó remitir al tutelado</w:t>
      </w:r>
      <w:r w:rsidR="006E35C9">
        <w:rPr>
          <w:rFonts w:ascii="Arial" w:hAnsi="Arial" w:cs="Arial"/>
          <w:sz w:val="24"/>
          <w:szCs w:val="24"/>
        </w:rPr>
        <w:t>,</w:t>
      </w:r>
      <w:r w:rsidRPr="00F71B61">
        <w:rPr>
          <w:rFonts w:ascii="Arial" w:hAnsi="Arial" w:cs="Arial"/>
          <w:sz w:val="24"/>
          <w:szCs w:val="24"/>
        </w:rPr>
        <w:t xml:space="preserve"> está dirigido a menores con parálisis cerebral infantil; y dicho cambio podría implicar una afectación en la continuidad del proceso educativo del menor, tomando en cuenta que ha estado en la Escuela Neuropsiquiátrica Infantil desde hace varios años.</w:t>
      </w:r>
    </w:p>
    <w:p w:rsidR="00A16D22" w:rsidRPr="00F71B61" w:rsidRDefault="00024E2C" w:rsidP="00376D27">
      <w:pPr>
        <w:jc w:val="both"/>
        <w:rPr>
          <w:rFonts w:ascii="Arial" w:hAnsi="Arial" w:cs="Arial"/>
          <w:sz w:val="24"/>
          <w:szCs w:val="24"/>
        </w:rPr>
      </w:pPr>
      <w:r w:rsidRPr="00E9250D">
        <w:rPr>
          <w:rFonts w:ascii="Arial" w:eastAsia="Times New Roman" w:hAnsi="Arial" w:cs="Arial"/>
          <w:i/>
          <w:sz w:val="24"/>
          <w:szCs w:val="24"/>
        </w:rPr>
        <w:t xml:space="preserve">“La Educación Inclusiva </w:t>
      </w:r>
      <w:r w:rsidR="00376D27" w:rsidRPr="00E9250D">
        <w:rPr>
          <w:rFonts w:ascii="Arial" w:eastAsia="Times New Roman" w:hAnsi="Arial" w:cs="Arial"/>
          <w:i/>
          <w:sz w:val="24"/>
          <w:szCs w:val="24"/>
        </w:rPr>
        <w:t xml:space="preserve">es </w:t>
      </w:r>
      <w:r w:rsidRPr="00E9250D">
        <w:rPr>
          <w:rFonts w:ascii="Arial" w:eastAsia="Times New Roman" w:hAnsi="Arial" w:cs="Arial"/>
          <w:i/>
          <w:sz w:val="24"/>
          <w:szCs w:val="24"/>
        </w:rPr>
        <w:t xml:space="preserve"> aquél proceso mediante el cual un centro educativo se propone responder a todos los alumnos como individuos, reconsiderando su organización y propuesta curricular, con la capacidad de aceptar a todos los alumnos de la comunidad que deseen asistir ahí -en contraposición a la exclusión-, y en donde aquéllos son atendidos, reconocidos y respetados como personas con discapacidad a las que se les va a potenciar en función de sus capacidades y competencias”</w:t>
      </w:r>
      <w:r w:rsidRPr="00F71B61">
        <w:rPr>
          <w:rFonts w:ascii="Arial" w:eastAsia="Times New Roman" w:hAnsi="Arial" w:cs="Arial"/>
          <w:sz w:val="24"/>
          <w:szCs w:val="24"/>
        </w:rPr>
        <w:t>, señala la sentencia.</w:t>
      </w:r>
    </w:p>
    <w:p w:rsidR="00F71B61" w:rsidRPr="00FF392B" w:rsidRDefault="00A16D22" w:rsidP="00376D27">
      <w:pPr>
        <w:jc w:val="both"/>
        <w:rPr>
          <w:rFonts w:ascii="Arial" w:hAnsi="Arial" w:cs="Arial"/>
          <w:sz w:val="24"/>
          <w:szCs w:val="24"/>
        </w:rPr>
      </w:pPr>
      <w:r w:rsidRPr="00F71B61">
        <w:rPr>
          <w:rFonts w:ascii="Arial" w:hAnsi="Arial" w:cs="Arial"/>
          <w:sz w:val="24"/>
          <w:szCs w:val="24"/>
        </w:rPr>
        <w:t>Una vez sean notifica</w:t>
      </w:r>
      <w:r w:rsidR="00376D27">
        <w:rPr>
          <w:rFonts w:ascii="Arial" w:hAnsi="Arial" w:cs="Arial"/>
          <w:sz w:val="24"/>
          <w:szCs w:val="24"/>
        </w:rPr>
        <w:t>da</w:t>
      </w:r>
      <w:r w:rsidRPr="00F71B61">
        <w:rPr>
          <w:rFonts w:ascii="Arial" w:hAnsi="Arial" w:cs="Arial"/>
          <w:sz w:val="24"/>
          <w:szCs w:val="24"/>
        </w:rPr>
        <w:t>s, las autoridades del MEP tendrán tres meses</w:t>
      </w:r>
      <w:r w:rsidR="00024E2C" w:rsidRPr="00F71B61">
        <w:rPr>
          <w:rFonts w:ascii="Arial" w:hAnsi="Arial" w:cs="Arial"/>
          <w:sz w:val="24"/>
          <w:szCs w:val="24"/>
        </w:rPr>
        <w:t xml:space="preserve"> para asignar el </w:t>
      </w:r>
      <w:r w:rsidR="00F71B61" w:rsidRPr="00F71B61">
        <w:rPr>
          <w:rFonts w:ascii="Arial" w:hAnsi="Arial" w:cs="Arial"/>
          <w:sz w:val="24"/>
          <w:szCs w:val="24"/>
        </w:rPr>
        <w:t>asistente de aula al centro educativo</w:t>
      </w:r>
      <w:r w:rsidRPr="00F71B61">
        <w:rPr>
          <w:rFonts w:ascii="Arial" w:hAnsi="Arial" w:cs="Arial"/>
          <w:sz w:val="24"/>
          <w:szCs w:val="24"/>
        </w:rPr>
        <w:t xml:space="preserve"> y un mes </w:t>
      </w:r>
      <w:r w:rsidR="00F71B61" w:rsidRPr="00F71B61">
        <w:rPr>
          <w:rFonts w:ascii="Arial" w:hAnsi="Arial" w:cs="Arial"/>
          <w:sz w:val="24"/>
          <w:szCs w:val="24"/>
        </w:rPr>
        <w:t>para</w:t>
      </w:r>
      <w:r w:rsidR="00376D27">
        <w:rPr>
          <w:rFonts w:ascii="Arial" w:hAnsi="Arial" w:cs="Arial"/>
          <w:sz w:val="24"/>
          <w:szCs w:val="24"/>
        </w:rPr>
        <w:t xml:space="preserve"> </w:t>
      </w:r>
      <w:r w:rsidR="00F71B61" w:rsidRPr="00F71B61">
        <w:rPr>
          <w:rFonts w:ascii="Arial" w:hAnsi="Arial" w:cs="Arial"/>
          <w:sz w:val="24"/>
          <w:szCs w:val="24"/>
        </w:rPr>
        <w:t>reubicar al menor a un grupo más pequeño.</w:t>
      </w:r>
    </w:p>
    <w:tbl>
      <w:tblPr>
        <w:tblStyle w:val="Tablaconcuadrcula"/>
        <w:tblW w:w="0" w:type="auto"/>
        <w:tblLook w:val="04A0"/>
      </w:tblPr>
      <w:tblGrid>
        <w:gridCol w:w="2376"/>
        <w:gridCol w:w="6602"/>
      </w:tblGrid>
      <w:tr w:rsidR="00F71B61" w:rsidRPr="003A71AB" w:rsidTr="001218E6">
        <w:tc>
          <w:tcPr>
            <w:tcW w:w="2376" w:type="dxa"/>
            <w:shd w:val="clear" w:color="auto" w:fill="C6D9F1" w:themeFill="text2" w:themeFillTint="33"/>
          </w:tcPr>
          <w:p w:rsidR="00F71B61" w:rsidRPr="00376D27" w:rsidRDefault="00F71B61" w:rsidP="00376D27">
            <w:pPr>
              <w:jc w:val="both"/>
              <w:rPr>
                <w:rFonts w:ascii="Arial" w:hAnsi="Arial" w:cs="Arial"/>
                <w:sz w:val="18"/>
                <w:szCs w:val="18"/>
              </w:rPr>
            </w:pPr>
            <w:r w:rsidRPr="00376D27">
              <w:rPr>
                <w:rFonts w:ascii="Arial" w:hAnsi="Arial" w:cs="Arial"/>
                <w:sz w:val="18"/>
                <w:szCs w:val="18"/>
              </w:rPr>
              <w:t>Fecha de votación:</w:t>
            </w:r>
          </w:p>
        </w:tc>
        <w:tc>
          <w:tcPr>
            <w:tcW w:w="6602" w:type="dxa"/>
          </w:tcPr>
          <w:p w:rsidR="00F71B61" w:rsidRPr="00376D27" w:rsidRDefault="00E9250D" w:rsidP="00376D27">
            <w:pPr>
              <w:jc w:val="both"/>
              <w:rPr>
                <w:rFonts w:ascii="Arial" w:hAnsi="Arial" w:cs="Arial"/>
                <w:sz w:val="18"/>
                <w:szCs w:val="18"/>
              </w:rPr>
            </w:pPr>
            <w:r>
              <w:rPr>
                <w:rFonts w:ascii="Arial" w:hAnsi="Arial" w:cs="Arial"/>
                <w:sz w:val="18"/>
                <w:szCs w:val="18"/>
              </w:rPr>
              <w:t>9:40 a.m. del m</w:t>
            </w:r>
            <w:r w:rsidR="00F71B61" w:rsidRPr="00376D27">
              <w:rPr>
                <w:rFonts w:ascii="Arial" w:hAnsi="Arial" w:cs="Arial"/>
                <w:sz w:val="18"/>
                <w:szCs w:val="18"/>
              </w:rPr>
              <w:t>artes 2 de abril, 2019.</w:t>
            </w:r>
          </w:p>
        </w:tc>
      </w:tr>
      <w:tr w:rsidR="00F71B61" w:rsidRPr="003A71AB" w:rsidTr="001218E6">
        <w:tc>
          <w:tcPr>
            <w:tcW w:w="2376" w:type="dxa"/>
            <w:shd w:val="clear" w:color="auto" w:fill="C6D9F1" w:themeFill="text2" w:themeFillTint="33"/>
          </w:tcPr>
          <w:p w:rsidR="00F71B61" w:rsidRPr="00376D27" w:rsidRDefault="00F71B61" w:rsidP="00376D27">
            <w:pPr>
              <w:jc w:val="both"/>
              <w:rPr>
                <w:rFonts w:ascii="Arial" w:hAnsi="Arial" w:cs="Arial"/>
                <w:sz w:val="18"/>
                <w:szCs w:val="18"/>
              </w:rPr>
            </w:pPr>
            <w:r w:rsidRPr="00376D27">
              <w:rPr>
                <w:rFonts w:ascii="Arial" w:hAnsi="Arial" w:cs="Arial"/>
                <w:sz w:val="18"/>
                <w:szCs w:val="18"/>
              </w:rPr>
              <w:t>Número de fallo:</w:t>
            </w:r>
          </w:p>
        </w:tc>
        <w:tc>
          <w:tcPr>
            <w:tcW w:w="6602" w:type="dxa"/>
          </w:tcPr>
          <w:p w:rsidR="00F71B61" w:rsidRPr="00376D27" w:rsidRDefault="00F71B61" w:rsidP="00376D27">
            <w:pPr>
              <w:jc w:val="both"/>
              <w:rPr>
                <w:rFonts w:ascii="Arial" w:hAnsi="Arial" w:cs="Arial"/>
                <w:sz w:val="18"/>
                <w:szCs w:val="18"/>
              </w:rPr>
            </w:pPr>
            <w:r w:rsidRPr="00376D27">
              <w:rPr>
                <w:rFonts w:ascii="Arial" w:hAnsi="Arial" w:cs="Arial"/>
                <w:sz w:val="18"/>
                <w:szCs w:val="18"/>
              </w:rPr>
              <w:t>2019</w:t>
            </w:r>
            <w:r w:rsidR="00E9250D">
              <w:rPr>
                <w:rFonts w:ascii="Arial" w:hAnsi="Arial" w:cs="Arial"/>
                <w:sz w:val="18"/>
                <w:szCs w:val="18"/>
              </w:rPr>
              <w:t>-</w:t>
            </w:r>
            <w:r w:rsidRPr="00376D27">
              <w:rPr>
                <w:rFonts w:ascii="Arial" w:hAnsi="Arial" w:cs="Arial"/>
                <w:sz w:val="18"/>
                <w:szCs w:val="18"/>
              </w:rPr>
              <w:t>5956</w:t>
            </w:r>
          </w:p>
        </w:tc>
      </w:tr>
      <w:tr w:rsidR="00F71B61" w:rsidRPr="003A71AB" w:rsidTr="001218E6">
        <w:tc>
          <w:tcPr>
            <w:tcW w:w="2376" w:type="dxa"/>
            <w:shd w:val="clear" w:color="auto" w:fill="C6D9F1" w:themeFill="text2" w:themeFillTint="33"/>
          </w:tcPr>
          <w:p w:rsidR="00F71B61" w:rsidRPr="00376D27" w:rsidRDefault="00F71B61" w:rsidP="00376D27">
            <w:pPr>
              <w:jc w:val="both"/>
              <w:rPr>
                <w:rFonts w:ascii="Arial" w:hAnsi="Arial" w:cs="Arial"/>
                <w:sz w:val="18"/>
                <w:szCs w:val="18"/>
              </w:rPr>
            </w:pPr>
            <w:r w:rsidRPr="00376D27">
              <w:rPr>
                <w:rFonts w:ascii="Arial" w:hAnsi="Arial" w:cs="Arial"/>
                <w:sz w:val="18"/>
                <w:szCs w:val="18"/>
              </w:rPr>
              <w:t>Fecha de presentación del amparo:</w:t>
            </w:r>
          </w:p>
        </w:tc>
        <w:tc>
          <w:tcPr>
            <w:tcW w:w="6602" w:type="dxa"/>
          </w:tcPr>
          <w:p w:rsidR="00F71B61" w:rsidRPr="00376D27" w:rsidRDefault="0051285B" w:rsidP="00B06897">
            <w:pPr>
              <w:jc w:val="both"/>
              <w:rPr>
                <w:rFonts w:ascii="Arial" w:hAnsi="Arial" w:cs="Arial"/>
                <w:sz w:val="18"/>
                <w:szCs w:val="18"/>
              </w:rPr>
            </w:pPr>
            <w:r w:rsidRPr="00376D27">
              <w:rPr>
                <w:rFonts w:ascii="Arial" w:hAnsi="Arial" w:cs="Arial"/>
                <w:sz w:val="18"/>
                <w:szCs w:val="18"/>
              </w:rPr>
              <w:t>7 de febrero</w:t>
            </w:r>
            <w:r w:rsidR="00F71B61" w:rsidRPr="00376D27">
              <w:rPr>
                <w:rFonts w:ascii="Arial" w:hAnsi="Arial" w:cs="Arial"/>
                <w:sz w:val="18"/>
                <w:szCs w:val="18"/>
              </w:rPr>
              <w:t>, 201</w:t>
            </w:r>
            <w:r w:rsidR="00B06897">
              <w:rPr>
                <w:rFonts w:ascii="Arial" w:hAnsi="Arial" w:cs="Arial"/>
                <w:sz w:val="18"/>
                <w:szCs w:val="18"/>
              </w:rPr>
              <w:t>9</w:t>
            </w:r>
            <w:r w:rsidR="00F71B61" w:rsidRPr="00376D27">
              <w:rPr>
                <w:rFonts w:ascii="Arial" w:hAnsi="Arial" w:cs="Arial"/>
                <w:sz w:val="18"/>
                <w:szCs w:val="18"/>
              </w:rPr>
              <w:t>.</w:t>
            </w:r>
          </w:p>
        </w:tc>
      </w:tr>
      <w:tr w:rsidR="00F71B61" w:rsidRPr="003A71AB" w:rsidTr="001218E6">
        <w:tc>
          <w:tcPr>
            <w:tcW w:w="2376" w:type="dxa"/>
            <w:shd w:val="clear" w:color="auto" w:fill="C6D9F1" w:themeFill="text2" w:themeFillTint="33"/>
          </w:tcPr>
          <w:p w:rsidR="00F71B61" w:rsidRPr="00376D27" w:rsidRDefault="00F71B61" w:rsidP="00376D27">
            <w:pPr>
              <w:jc w:val="both"/>
              <w:rPr>
                <w:rFonts w:ascii="Arial" w:hAnsi="Arial" w:cs="Arial"/>
                <w:sz w:val="18"/>
                <w:szCs w:val="18"/>
              </w:rPr>
            </w:pPr>
            <w:r w:rsidRPr="00376D27">
              <w:rPr>
                <w:rFonts w:ascii="Arial" w:hAnsi="Arial" w:cs="Arial"/>
                <w:sz w:val="18"/>
                <w:szCs w:val="18"/>
              </w:rPr>
              <w:t>Recurrida:</w:t>
            </w:r>
          </w:p>
        </w:tc>
        <w:tc>
          <w:tcPr>
            <w:tcW w:w="6602" w:type="dxa"/>
          </w:tcPr>
          <w:p w:rsidR="00F71B61" w:rsidRPr="00376D27" w:rsidRDefault="0051285B" w:rsidP="00376D27">
            <w:pPr>
              <w:jc w:val="both"/>
              <w:rPr>
                <w:rFonts w:ascii="Arial" w:hAnsi="Arial" w:cs="Arial"/>
                <w:sz w:val="18"/>
                <w:szCs w:val="18"/>
              </w:rPr>
            </w:pPr>
            <w:r w:rsidRPr="00376D27">
              <w:rPr>
                <w:rFonts w:ascii="Arial" w:hAnsi="Arial" w:cs="Arial"/>
                <w:sz w:val="18"/>
                <w:szCs w:val="18"/>
              </w:rPr>
              <w:t>Ministerio de Educación Pública</w:t>
            </w:r>
          </w:p>
        </w:tc>
      </w:tr>
      <w:tr w:rsidR="00F71B61" w:rsidRPr="003A71AB" w:rsidTr="001218E6">
        <w:trPr>
          <w:trHeight w:val="144"/>
        </w:trPr>
        <w:tc>
          <w:tcPr>
            <w:tcW w:w="2376" w:type="dxa"/>
            <w:shd w:val="clear" w:color="auto" w:fill="C6D9F1" w:themeFill="text2" w:themeFillTint="33"/>
          </w:tcPr>
          <w:p w:rsidR="00F71B61" w:rsidRPr="00376D27" w:rsidRDefault="00F71B61" w:rsidP="00376D27">
            <w:pPr>
              <w:jc w:val="both"/>
              <w:rPr>
                <w:rFonts w:ascii="Arial" w:hAnsi="Arial" w:cs="Arial"/>
                <w:sz w:val="18"/>
                <w:szCs w:val="18"/>
              </w:rPr>
            </w:pPr>
            <w:r w:rsidRPr="00376D27">
              <w:rPr>
                <w:rFonts w:ascii="Arial" w:hAnsi="Arial" w:cs="Arial"/>
                <w:sz w:val="18"/>
                <w:szCs w:val="18"/>
              </w:rPr>
              <w:t>Conformación del Tribunal</w:t>
            </w:r>
          </w:p>
        </w:tc>
        <w:tc>
          <w:tcPr>
            <w:tcW w:w="6602" w:type="dxa"/>
          </w:tcPr>
          <w:p w:rsidR="00F71B61" w:rsidRPr="00376D27" w:rsidRDefault="00F71B61" w:rsidP="00376D27">
            <w:pPr>
              <w:jc w:val="both"/>
              <w:rPr>
                <w:rFonts w:ascii="Arial" w:hAnsi="Arial" w:cs="Arial"/>
                <w:sz w:val="18"/>
                <w:szCs w:val="18"/>
              </w:rPr>
            </w:pPr>
            <w:r w:rsidRPr="00376D27">
              <w:rPr>
                <w:rFonts w:ascii="Arial" w:hAnsi="Arial" w:cs="Arial"/>
                <w:color w:val="000000"/>
                <w:sz w:val="18"/>
                <w:szCs w:val="18"/>
              </w:rPr>
              <w:t>Fernando Castillo Víquez, quien preside, Paul Rueda Leal, Nancy Hernández López, Luis Fernando Salazar Alvarado</w:t>
            </w:r>
            <w:r w:rsidR="0051285B" w:rsidRPr="00376D27">
              <w:rPr>
                <w:rFonts w:ascii="Arial" w:hAnsi="Arial" w:cs="Arial"/>
                <w:color w:val="000000"/>
                <w:sz w:val="18"/>
                <w:szCs w:val="18"/>
              </w:rPr>
              <w:t xml:space="preserve"> (magistrado instructor)</w:t>
            </w:r>
            <w:r w:rsidRPr="00376D27">
              <w:rPr>
                <w:rFonts w:ascii="Arial" w:hAnsi="Arial" w:cs="Arial"/>
                <w:color w:val="000000"/>
                <w:sz w:val="18"/>
                <w:szCs w:val="18"/>
              </w:rPr>
              <w:t>, Jorge Araya García, y los suplentes Marta Esquivel Rodríguez y Mauricio Chacón Jiménez.</w:t>
            </w:r>
          </w:p>
        </w:tc>
      </w:tr>
      <w:tr w:rsidR="00F71B61" w:rsidTr="001218E6">
        <w:tc>
          <w:tcPr>
            <w:tcW w:w="8978" w:type="dxa"/>
            <w:gridSpan w:val="2"/>
          </w:tcPr>
          <w:p w:rsidR="00F71B61" w:rsidRPr="0008463E" w:rsidRDefault="00F71B61" w:rsidP="00376D27">
            <w:pPr>
              <w:jc w:val="both"/>
              <w:rPr>
                <w:rFonts w:ascii="Arial" w:hAnsi="Arial" w:cs="Arial"/>
                <w:sz w:val="18"/>
                <w:szCs w:val="18"/>
                <w:highlight w:val="lightGray"/>
              </w:rPr>
            </w:pPr>
          </w:p>
        </w:tc>
      </w:tr>
    </w:tbl>
    <w:p w:rsidR="00F71B61" w:rsidRPr="00F71B61" w:rsidRDefault="00F71B61" w:rsidP="00376D27">
      <w:pPr>
        <w:jc w:val="both"/>
        <w:rPr>
          <w:rFonts w:ascii="Arial" w:hAnsi="Arial" w:cs="Arial"/>
          <w:sz w:val="24"/>
          <w:szCs w:val="24"/>
        </w:rPr>
      </w:pPr>
    </w:p>
    <w:sectPr w:rsidR="00F71B61" w:rsidRPr="00F71B61" w:rsidSect="00A062D6">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0D6" w:rsidRDefault="005F20D6" w:rsidP="000F0C6D">
      <w:pPr>
        <w:spacing w:after="0" w:line="240" w:lineRule="auto"/>
      </w:pPr>
      <w:r>
        <w:separator/>
      </w:r>
    </w:p>
  </w:endnote>
  <w:endnote w:type="continuationSeparator" w:id="0">
    <w:p w:rsidR="005F20D6" w:rsidRDefault="005F20D6" w:rsidP="000F0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0D6" w:rsidRDefault="005F20D6" w:rsidP="000F0C6D">
      <w:pPr>
        <w:spacing w:after="0" w:line="240" w:lineRule="auto"/>
      </w:pPr>
      <w:r>
        <w:separator/>
      </w:r>
    </w:p>
  </w:footnote>
  <w:footnote w:type="continuationSeparator" w:id="0">
    <w:p w:rsidR="005F20D6" w:rsidRDefault="005F20D6" w:rsidP="000F0C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701496"/>
      <w:docPartObj>
        <w:docPartGallery w:val="Page Numbers (Top of Page)"/>
        <w:docPartUnique/>
      </w:docPartObj>
    </w:sdtPr>
    <w:sdtContent>
      <w:p w:rsidR="000F0C6D" w:rsidRDefault="004C6E5A">
        <w:pPr>
          <w:pStyle w:val="Encabezado"/>
          <w:jc w:val="right"/>
        </w:pPr>
        <w:fldSimple w:instr=" PAGE   \* MERGEFORMAT ">
          <w:r w:rsidR="00B06897">
            <w:rPr>
              <w:noProof/>
            </w:rPr>
            <w:t>1</w:t>
          </w:r>
        </w:fldSimple>
      </w:p>
    </w:sdtContent>
  </w:sdt>
  <w:p w:rsidR="000F0C6D" w:rsidRDefault="000F0C6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41662"/>
    <w:multiLevelType w:val="hybridMultilevel"/>
    <w:tmpl w:val="2B5A8F58"/>
    <w:lvl w:ilvl="0" w:tplc="49C6BED2">
      <w:start w:val="9"/>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1"/>
    <w:footnote w:id="0"/>
  </w:footnotePr>
  <w:endnotePr>
    <w:endnote w:id="-1"/>
    <w:endnote w:id="0"/>
  </w:endnotePr>
  <w:compat/>
  <w:rsids>
    <w:rsidRoot w:val="00D643A2"/>
    <w:rsid w:val="00024E2C"/>
    <w:rsid w:val="000F0C6D"/>
    <w:rsid w:val="00340E26"/>
    <w:rsid w:val="00376D27"/>
    <w:rsid w:val="004C6E5A"/>
    <w:rsid w:val="0051285B"/>
    <w:rsid w:val="005F20D6"/>
    <w:rsid w:val="00600E21"/>
    <w:rsid w:val="006051B6"/>
    <w:rsid w:val="00686556"/>
    <w:rsid w:val="006D4D63"/>
    <w:rsid w:val="006E35C9"/>
    <w:rsid w:val="007F6EF8"/>
    <w:rsid w:val="008555E3"/>
    <w:rsid w:val="00A062D6"/>
    <w:rsid w:val="00A16D22"/>
    <w:rsid w:val="00B06897"/>
    <w:rsid w:val="00C71E16"/>
    <w:rsid w:val="00D643A2"/>
    <w:rsid w:val="00E075FE"/>
    <w:rsid w:val="00E9250D"/>
    <w:rsid w:val="00F71B6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3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643A2"/>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D643A2"/>
    <w:pPr>
      <w:ind w:left="720"/>
      <w:contextualSpacing/>
    </w:pPr>
  </w:style>
  <w:style w:type="paragraph" w:styleId="Textodeglobo">
    <w:name w:val="Balloon Text"/>
    <w:basedOn w:val="Normal"/>
    <w:link w:val="TextodegloboCar"/>
    <w:uiPriority w:val="99"/>
    <w:semiHidden/>
    <w:unhideWhenUsed/>
    <w:rsid w:val="00D643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3A2"/>
    <w:rPr>
      <w:rFonts w:ascii="Tahoma" w:hAnsi="Tahoma" w:cs="Tahoma"/>
      <w:sz w:val="16"/>
      <w:szCs w:val="16"/>
    </w:rPr>
  </w:style>
  <w:style w:type="table" w:styleId="Tablaconcuadrcula">
    <w:name w:val="Table Grid"/>
    <w:basedOn w:val="Tablanormal"/>
    <w:uiPriority w:val="59"/>
    <w:rsid w:val="00F71B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F0C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0C6D"/>
  </w:style>
  <w:style w:type="paragraph" w:styleId="Piedepgina">
    <w:name w:val="footer"/>
    <w:basedOn w:val="Normal"/>
    <w:link w:val="PiedepginaCar"/>
    <w:uiPriority w:val="99"/>
    <w:semiHidden/>
    <w:unhideWhenUsed/>
    <w:rsid w:val="000F0C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F0C6D"/>
  </w:style>
</w:styles>
</file>

<file path=word/webSettings.xml><?xml version="1.0" encoding="utf-8"?>
<w:webSettings xmlns:r="http://schemas.openxmlformats.org/officeDocument/2006/relationships" xmlns:w="http://schemas.openxmlformats.org/wordprocessingml/2006/main">
  <w:divs>
    <w:div w:id="506359523">
      <w:bodyDiv w:val="1"/>
      <w:marLeft w:val="0"/>
      <w:marRight w:val="0"/>
      <w:marTop w:val="0"/>
      <w:marBottom w:val="0"/>
      <w:divBdr>
        <w:top w:val="none" w:sz="0" w:space="0" w:color="auto"/>
        <w:left w:val="none" w:sz="0" w:space="0" w:color="auto"/>
        <w:bottom w:val="none" w:sz="0" w:space="0" w:color="auto"/>
        <w:right w:val="none" w:sz="0" w:space="0" w:color="auto"/>
      </w:divBdr>
      <w:divsChild>
        <w:div w:id="274605132">
          <w:marLeft w:val="0"/>
          <w:marRight w:val="0"/>
          <w:marTop w:val="0"/>
          <w:marBottom w:val="0"/>
          <w:divBdr>
            <w:top w:val="none" w:sz="0" w:space="0" w:color="auto"/>
            <w:left w:val="none" w:sz="0" w:space="0" w:color="auto"/>
            <w:bottom w:val="none" w:sz="0" w:space="0" w:color="auto"/>
            <w:right w:val="none" w:sz="0" w:space="0" w:color="auto"/>
          </w:divBdr>
        </w:div>
        <w:div w:id="2013144180">
          <w:marLeft w:val="0"/>
          <w:marRight w:val="0"/>
          <w:marTop w:val="0"/>
          <w:marBottom w:val="0"/>
          <w:divBdr>
            <w:top w:val="none" w:sz="0" w:space="0" w:color="auto"/>
            <w:left w:val="none" w:sz="0" w:space="0" w:color="auto"/>
            <w:bottom w:val="none" w:sz="0" w:space="0" w:color="auto"/>
            <w:right w:val="none" w:sz="0" w:space="0" w:color="auto"/>
          </w:divBdr>
        </w:div>
        <w:div w:id="409161167">
          <w:marLeft w:val="0"/>
          <w:marRight w:val="0"/>
          <w:marTop w:val="0"/>
          <w:marBottom w:val="0"/>
          <w:divBdr>
            <w:top w:val="none" w:sz="0" w:space="0" w:color="auto"/>
            <w:left w:val="none" w:sz="0" w:space="0" w:color="auto"/>
            <w:bottom w:val="none" w:sz="0" w:space="0" w:color="auto"/>
            <w:right w:val="none" w:sz="0" w:space="0" w:color="auto"/>
          </w:divBdr>
        </w:div>
        <w:div w:id="535696266">
          <w:marLeft w:val="0"/>
          <w:marRight w:val="0"/>
          <w:marTop w:val="0"/>
          <w:marBottom w:val="0"/>
          <w:divBdr>
            <w:top w:val="none" w:sz="0" w:space="0" w:color="auto"/>
            <w:left w:val="none" w:sz="0" w:space="0" w:color="auto"/>
            <w:bottom w:val="none" w:sz="0" w:space="0" w:color="auto"/>
            <w:right w:val="none" w:sz="0" w:space="0" w:color="auto"/>
          </w:divBdr>
        </w:div>
        <w:div w:id="753479122">
          <w:marLeft w:val="0"/>
          <w:marRight w:val="0"/>
          <w:marTop w:val="0"/>
          <w:marBottom w:val="0"/>
          <w:divBdr>
            <w:top w:val="none" w:sz="0" w:space="0" w:color="auto"/>
            <w:left w:val="none" w:sz="0" w:space="0" w:color="auto"/>
            <w:bottom w:val="none" w:sz="0" w:space="0" w:color="auto"/>
            <w:right w:val="none" w:sz="0" w:space="0" w:color="auto"/>
          </w:divBdr>
        </w:div>
        <w:div w:id="1825123021">
          <w:marLeft w:val="0"/>
          <w:marRight w:val="0"/>
          <w:marTop w:val="0"/>
          <w:marBottom w:val="0"/>
          <w:divBdr>
            <w:top w:val="none" w:sz="0" w:space="0" w:color="auto"/>
            <w:left w:val="none" w:sz="0" w:space="0" w:color="auto"/>
            <w:bottom w:val="none" w:sz="0" w:space="0" w:color="auto"/>
            <w:right w:val="none" w:sz="0" w:space="0" w:color="auto"/>
          </w:divBdr>
        </w:div>
        <w:div w:id="507209540">
          <w:marLeft w:val="0"/>
          <w:marRight w:val="0"/>
          <w:marTop w:val="0"/>
          <w:marBottom w:val="0"/>
          <w:divBdr>
            <w:top w:val="none" w:sz="0" w:space="0" w:color="auto"/>
            <w:left w:val="none" w:sz="0" w:space="0" w:color="auto"/>
            <w:bottom w:val="none" w:sz="0" w:space="0" w:color="auto"/>
            <w:right w:val="none" w:sz="0" w:space="0" w:color="auto"/>
          </w:divBdr>
        </w:div>
        <w:div w:id="1050036815">
          <w:marLeft w:val="0"/>
          <w:marRight w:val="0"/>
          <w:marTop w:val="0"/>
          <w:marBottom w:val="0"/>
          <w:divBdr>
            <w:top w:val="none" w:sz="0" w:space="0" w:color="auto"/>
            <w:left w:val="none" w:sz="0" w:space="0" w:color="auto"/>
            <w:bottom w:val="none" w:sz="0" w:space="0" w:color="auto"/>
            <w:right w:val="none" w:sz="0" w:space="0" w:color="auto"/>
          </w:divBdr>
        </w:div>
        <w:div w:id="1493990162">
          <w:marLeft w:val="0"/>
          <w:marRight w:val="0"/>
          <w:marTop w:val="0"/>
          <w:marBottom w:val="0"/>
          <w:divBdr>
            <w:top w:val="none" w:sz="0" w:space="0" w:color="auto"/>
            <w:left w:val="none" w:sz="0" w:space="0" w:color="auto"/>
            <w:bottom w:val="none" w:sz="0" w:space="0" w:color="auto"/>
            <w:right w:val="none" w:sz="0" w:space="0" w:color="auto"/>
          </w:divBdr>
        </w:div>
        <w:div w:id="164176804">
          <w:marLeft w:val="0"/>
          <w:marRight w:val="0"/>
          <w:marTop w:val="0"/>
          <w:marBottom w:val="0"/>
          <w:divBdr>
            <w:top w:val="none" w:sz="0" w:space="0" w:color="auto"/>
            <w:left w:val="none" w:sz="0" w:space="0" w:color="auto"/>
            <w:bottom w:val="none" w:sz="0" w:space="0" w:color="auto"/>
            <w:right w:val="none" w:sz="0" w:space="0" w:color="auto"/>
          </w:divBdr>
        </w:div>
        <w:div w:id="1258176237">
          <w:marLeft w:val="0"/>
          <w:marRight w:val="0"/>
          <w:marTop w:val="0"/>
          <w:marBottom w:val="0"/>
          <w:divBdr>
            <w:top w:val="none" w:sz="0" w:space="0" w:color="auto"/>
            <w:left w:val="none" w:sz="0" w:space="0" w:color="auto"/>
            <w:bottom w:val="none" w:sz="0" w:space="0" w:color="auto"/>
            <w:right w:val="none" w:sz="0" w:space="0" w:color="auto"/>
          </w:divBdr>
        </w:div>
      </w:divsChild>
    </w:div>
    <w:div w:id="10024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553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amatab</dc:creator>
  <cp:lastModifiedBy>amatab</cp:lastModifiedBy>
  <cp:revision>4</cp:revision>
  <cp:lastPrinted>2019-04-02T22:54:00Z</cp:lastPrinted>
  <dcterms:created xsi:type="dcterms:W3CDTF">2019-04-02T22:57:00Z</dcterms:created>
  <dcterms:modified xsi:type="dcterms:W3CDTF">2019-04-04T21:10:00Z</dcterms:modified>
</cp:coreProperties>
</file>