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4" w:rsidRDefault="00507A04">
      <w:r w:rsidRPr="00507A04">
        <w:drawing>
          <wp:inline distT="0" distB="0" distL="0" distR="0">
            <wp:extent cx="5013740" cy="1272845"/>
            <wp:effectExtent l="19050" t="0" r="0" b="0"/>
            <wp:docPr id="1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47" cy="12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A04" w:rsidRDefault="00507A04" w:rsidP="00507A0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SC-CP-060519</w:t>
      </w:r>
    </w:p>
    <w:p w:rsidR="00507A04" w:rsidRDefault="00507A04" w:rsidP="00507A0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  <w:lang w:val="es-ES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San José, 3 de mayo de 2019</w:t>
      </w:r>
      <w:bookmarkStart w:id="0" w:name="_GoBack"/>
      <w:bookmarkEnd w:id="0"/>
    </w:p>
    <w:p w:rsidR="00507A04" w:rsidRPr="00CA6E07" w:rsidRDefault="00507A04" w:rsidP="00507A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8"/>
          <w:szCs w:val="18"/>
        </w:rPr>
      </w:pPr>
    </w:p>
    <w:p w:rsidR="00507A04" w:rsidRPr="00460E7B" w:rsidRDefault="00507A04" w:rsidP="00507A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6A9C">
        <w:rPr>
          <w:rFonts w:ascii="Arial" w:hAnsi="Arial" w:cs="Arial"/>
          <w:b/>
          <w:sz w:val="28"/>
          <w:szCs w:val="28"/>
        </w:rPr>
        <w:t>COMUNICADO DE PRENSA</w:t>
      </w:r>
    </w:p>
    <w:p w:rsidR="009E2DE3" w:rsidRPr="00507A04" w:rsidRDefault="009E4E96" w:rsidP="00507A04">
      <w:pPr>
        <w:jc w:val="center"/>
        <w:rPr>
          <w:rFonts w:ascii="Arial" w:hAnsi="Arial" w:cs="Arial"/>
          <w:b/>
          <w:sz w:val="26"/>
          <w:szCs w:val="26"/>
        </w:rPr>
      </w:pPr>
      <w:r w:rsidRPr="00507A04">
        <w:rPr>
          <w:rFonts w:ascii="Arial" w:hAnsi="Arial" w:cs="Arial"/>
          <w:b/>
          <w:sz w:val="26"/>
          <w:szCs w:val="26"/>
        </w:rPr>
        <w:t xml:space="preserve">Sala Constitucional: </w:t>
      </w:r>
      <w:r w:rsidR="003B3AC1" w:rsidRPr="00507A04">
        <w:rPr>
          <w:rFonts w:ascii="Arial" w:hAnsi="Arial" w:cs="Arial"/>
          <w:b/>
          <w:sz w:val="26"/>
          <w:szCs w:val="26"/>
        </w:rPr>
        <w:t xml:space="preserve">educación y </w:t>
      </w:r>
      <w:r w:rsidRPr="00507A04">
        <w:rPr>
          <w:rFonts w:ascii="Arial" w:hAnsi="Arial" w:cs="Arial"/>
          <w:b/>
          <w:sz w:val="26"/>
          <w:szCs w:val="26"/>
        </w:rPr>
        <w:t xml:space="preserve"> crianza de hijos </w:t>
      </w:r>
      <w:r w:rsidR="003B3AC1" w:rsidRPr="00507A04">
        <w:rPr>
          <w:rFonts w:ascii="Arial" w:hAnsi="Arial" w:cs="Arial"/>
          <w:b/>
          <w:sz w:val="26"/>
          <w:szCs w:val="26"/>
        </w:rPr>
        <w:t xml:space="preserve">es responsabilidad de </w:t>
      </w:r>
      <w:r w:rsidRPr="00507A04">
        <w:rPr>
          <w:rFonts w:ascii="Arial" w:hAnsi="Arial" w:cs="Arial"/>
          <w:b/>
          <w:sz w:val="26"/>
          <w:szCs w:val="26"/>
        </w:rPr>
        <w:t>padre y madre, sin importar que</w:t>
      </w:r>
      <w:r w:rsidR="003B3AC1" w:rsidRPr="00507A04">
        <w:rPr>
          <w:rFonts w:ascii="Arial" w:hAnsi="Arial" w:cs="Arial"/>
          <w:b/>
          <w:sz w:val="26"/>
          <w:szCs w:val="26"/>
        </w:rPr>
        <w:t xml:space="preserve"> </w:t>
      </w:r>
      <w:r w:rsidRPr="00507A04">
        <w:rPr>
          <w:rFonts w:ascii="Arial" w:hAnsi="Arial" w:cs="Arial"/>
          <w:b/>
          <w:sz w:val="26"/>
          <w:szCs w:val="26"/>
        </w:rPr>
        <w:t>estén separados</w:t>
      </w:r>
    </w:p>
    <w:p w:rsidR="00FA1CE8" w:rsidRDefault="009E4E96" w:rsidP="00FA1C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A1CE8">
        <w:rPr>
          <w:rFonts w:ascii="Arial" w:hAnsi="Arial" w:cs="Arial"/>
          <w:i/>
          <w:sz w:val="24"/>
          <w:szCs w:val="24"/>
        </w:rPr>
        <w:t xml:space="preserve">Mujer presentó amparo contra </w:t>
      </w:r>
      <w:r w:rsidR="00E32B32" w:rsidRPr="00FA1CE8">
        <w:rPr>
          <w:rFonts w:ascii="Arial" w:hAnsi="Arial" w:cs="Arial"/>
          <w:i/>
          <w:sz w:val="24"/>
          <w:szCs w:val="24"/>
        </w:rPr>
        <w:t>escuela</w:t>
      </w:r>
      <w:r w:rsidRPr="00FA1CE8">
        <w:rPr>
          <w:rFonts w:ascii="Arial" w:hAnsi="Arial" w:cs="Arial"/>
          <w:i/>
          <w:sz w:val="24"/>
          <w:szCs w:val="24"/>
        </w:rPr>
        <w:t xml:space="preserve"> privad</w:t>
      </w:r>
      <w:r w:rsidR="00E32B32" w:rsidRPr="00FA1CE8">
        <w:rPr>
          <w:rFonts w:ascii="Arial" w:hAnsi="Arial" w:cs="Arial"/>
          <w:i/>
          <w:sz w:val="24"/>
          <w:szCs w:val="24"/>
        </w:rPr>
        <w:t>a</w:t>
      </w:r>
      <w:r w:rsidRPr="00FA1CE8">
        <w:rPr>
          <w:rFonts w:ascii="Arial" w:hAnsi="Arial" w:cs="Arial"/>
          <w:i/>
          <w:sz w:val="24"/>
          <w:szCs w:val="24"/>
        </w:rPr>
        <w:t xml:space="preserve"> que le negó información académica de su hija</w:t>
      </w:r>
    </w:p>
    <w:p w:rsidR="00FA1CE8" w:rsidRPr="00FA1CE8" w:rsidRDefault="00FA1CE8" w:rsidP="00FA1CE8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9E4E96" w:rsidRPr="00FA1CE8" w:rsidRDefault="009E4E96" w:rsidP="00507A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1CE8">
        <w:rPr>
          <w:rFonts w:ascii="Arial" w:hAnsi="Arial" w:cs="Arial"/>
          <w:sz w:val="24"/>
          <w:szCs w:val="24"/>
        </w:rPr>
        <w:t>La Sala Constitucional, garante de la dignidad, derechos y libertad de las personas,</w:t>
      </w:r>
      <w:r w:rsidR="003B3AC1" w:rsidRPr="00FA1CE8">
        <w:rPr>
          <w:rFonts w:ascii="Arial" w:hAnsi="Arial" w:cs="Arial"/>
          <w:sz w:val="24"/>
          <w:szCs w:val="24"/>
        </w:rPr>
        <w:t xml:space="preserve"> concluye</w:t>
      </w:r>
      <w:r w:rsidR="00915E03" w:rsidRPr="00FA1CE8">
        <w:rPr>
          <w:rFonts w:ascii="Arial" w:hAnsi="Arial" w:cs="Arial"/>
          <w:sz w:val="24"/>
          <w:szCs w:val="24"/>
        </w:rPr>
        <w:t xml:space="preserve"> </w:t>
      </w:r>
      <w:r w:rsidRPr="00FA1CE8">
        <w:rPr>
          <w:rFonts w:ascii="Arial" w:hAnsi="Arial" w:cs="Arial"/>
          <w:sz w:val="24"/>
          <w:szCs w:val="24"/>
        </w:rPr>
        <w:t>en la sentencia 2019-7701 que la educación y la cr</w:t>
      </w:r>
      <w:r w:rsidR="003B3AC1" w:rsidRPr="00FA1CE8">
        <w:rPr>
          <w:rFonts w:ascii="Arial" w:hAnsi="Arial" w:cs="Arial"/>
          <w:sz w:val="24"/>
          <w:szCs w:val="24"/>
        </w:rPr>
        <w:t>ianza de los hijos e hijas debe</w:t>
      </w:r>
      <w:r w:rsidRPr="00FA1CE8">
        <w:rPr>
          <w:rFonts w:ascii="Arial" w:hAnsi="Arial" w:cs="Arial"/>
          <w:sz w:val="24"/>
          <w:szCs w:val="24"/>
        </w:rPr>
        <w:t xml:space="preserve"> ser compartid</w:t>
      </w:r>
      <w:r w:rsidR="003B3AC1" w:rsidRPr="00FA1CE8">
        <w:rPr>
          <w:rFonts w:ascii="Arial" w:hAnsi="Arial" w:cs="Arial"/>
          <w:sz w:val="24"/>
          <w:szCs w:val="24"/>
        </w:rPr>
        <w:t>a</w:t>
      </w:r>
      <w:r w:rsidRPr="00FA1CE8">
        <w:rPr>
          <w:rFonts w:ascii="Arial" w:hAnsi="Arial" w:cs="Arial"/>
          <w:sz w:val="24"/>
          <w:szCs w:val="24"/>
        </w:rPr>
        <w:t xml:space="preserve"> entre el padre y la madre, </w:t>
      </w:r>
      <w:r w:rsidR="00C227F7" w:rsidRPr="00FA1CE8">
        <w:rPr>
          <w:rFonts w:ascii="Arial" w:hAnsi="Arial" w:cs="Arial"/>
          <w:sz w:val="24"/>
          <w:szCs w:val="24"/>
        </w:rPr>
        <w:t>sin importar si están separados, divorciados o si no viven juntos.</w:t>
      </w:r>
    </w:p>
    <w:p w:rsidR="00915E03" w:rsidRPr="00FA1CE8" w:rsidRDefault="00915E03" w:rsidP="00507A0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1CE8">
        <w:rPr>
          <w:rFonts w:ascii="Arial" w:hAnsi="Arial" w:cs="Arial"/>
          <w:sz w:val="24"/>
          <w:szCs w:val="24"/>
        </w:rPr>
        <w:t>El fallo surge a raíz de un recurso de amparo presentado por una madre en contra de un</w:t>
      </w:r>
      <w:r w:rsidR="00E32B32" w:rsidRPr="00FA1CE8">
        <w:rPr>
          <w:rFonts w:ascii="Arial" w:hAnsi="Arial" w:cs="Arial"/>
          <w:sz w:val="24"/>
          <w:szCs w:val="24"/>
        </w:rPr>
        <w:t>a</w:t>
      </w:r>
      <w:r w:rsidRPr="00FA1CE8">
        <w:rPr>
          <w:rFonts w:ascii="Arial" w:hAnsi="Arial" w:cs="Arial"/>
          <w:sz w:val="24"/>
          <w:szCs w:val="24"/>
        </w:rPr>
        <w:t xml:space="preserve"> </w:t>
      </w:r>
      <w:r w:rsidR="00E32B32" w:rsidRPr="00FA1CE8">
        <w:rPr>
          <w:rFonts w:ascii="Arial" w:hAnsi="Arial" w:cs="Arial"/>
          <w:sz w:val="24"/>
          <w:szCs w:val="24"/>
        </w:rPr>
        <w:t xml:space="preserve">escuela </w:t>
      </w:r>
      <w:r w:rsidRPr="00FA1CE8">
        <w:rPr>
          <w:rFonts w:ascii="Arial" w:hAnsi="Arial" w:cs="Arial"/>
          <w:sz w:val="24"/>
          <w:szCs w:val="24"/>
        </w:rPr>
        <w:t>privad</w:t>
      </w:r>
      <w:r w:rsidR="00E32B32" w:rsidRPr="00FA1CE8">
        <w:rPr>
          <w:rFonts w:ascii="Arial" w:hAnsi="Arial" w:cs="Arial"/>
          <w:sz w:val="24"/>
          <w:szCs w:val="24"/>
        </w:rPr>
        <w:t>a</w:t>
      </w:r>
      <w:r w:rsidRPr="00FA1CE8">
        <w:rPr>
          <w:rFonts w:ascii="Arial" w:hAnsi="Arial" w:cs="Arial"/>
          <w:sz w:val="24"/>
          <w:szCs w:val="24"/>
        </w:rPr>
        <w:t xml:space="preserve">,  en </w:t>
      </w:r>
      <w:r w:rsidR="00E32B32" w:rsidRPr="00FA1CE8">
        <w:rPr>
          <w:rFonts w:ascii="Arial" w:hAnsi="Arial" w:cs="Arial"/>
          <w:sz w:val="24"/>
          <w:szCs w:val="24"/>
        </w:rPr>
        <w:t>la</w:t>
      </w:r>
      <w:r w:rsidRPr="00FA1CE8">
        <w:rPr>
          <w:rFonts w:ascii="Arial" w:hAnsi="Arial" w:cs="Arial"/>
          <w:sz w:val="24"/>
          <w:szCs w:val="24"/>
        </w:rPr>
        <w:t xml:space="preserve"> cual le negaron información académica de su hija alegando que </w:t>
      </w:r>
      <w:r w:rsidR="00162F4B" w:rsidRPr="00FA1CE8">
        <w:rPr>
          <w:rFonts w:ascii="Arial" w:hAnsi="Arial" w:cs="Arial"/>
          <w:color w:val="000000"/>
          <w:sz w:val="24"/>
          <w:szCs w:val="24"/>
        </w:rPr>
        <w:t>la guarda y crianza de la menor la posee el padre</w:t>
      </w:r>
      <w:r w:rsidR="00517916" w:rsidRPr="00FA1CE8">
        <w:rPr>
          <w:rFonts w:ascii="Arial" w:hAnsi="Arial" w:cs="Arial"/>
          <w:color w:val="000000"/>
          <w:sz w:val="24"/>
          <w:szCs w:val="24"/>
        </w:rPr>
        <w:t xml:space="preserve"> (es quien reside con la menor de edad)</w:t>
      </w:r>
      <w:r w:rsidR="00162F4B" w:rsidRPr="00FA1CE8">
        <w:rPr>
          <w:rFonts w:ascii="Arial" w:hAnsi="Arial" w:cs="Arial"/>
          <w:color w:val="000000"/>
          <w:sz w:val="24"/>
          <w:szCs w:val="24"/>
        </w:rPr>
        <w:t xml:space="preserve">, </w:t>
      </w:r>
      <w:r w:rsidR="00517916" w:rsidRPr="00FA1CE8">
        <w:rPr>
          <w:rFonts w:ascii="Arial" w:hAnsi="Arial" w:cs="Arial"/>
          <w:color w:val="000000"/>
          <w:sz w:val="24"/>
          <w:szCs w:val="24"/>
        </w:rPr>
        <w:t>además de que él es quien</w:t>
      </w:r>
      <w:r w:rsidR="00162F4B" w:rsidRPr="00FA1CE8">
        <w:rPr>
          <w:rFonts w:ascii="Arial" w:hAnsi="Arial" w:cs="Arial"/>
          <w:color w:val="000000"/>
          <w:sz w:val="24"/>
          <w:szCs w:val="24"/>
        </w:rPr>
        <w:t xml:space="preserve"> figura como contratante del servicio educativo.</w:t>
      </w:r>
    </w:p>
    <w:p w:rsidR="00507A04" w:rsidRPr="00FA1CE8" w:rsidRDefault="00E84942" w:rsidP="00507A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1CE8">
        <w:rPr>
          <w:rFonts w:ascii="Arial" w:hAnsi="Arial" w:cs="Arial"/>
          <w:color w:val="000000"/>
          <w:sz w:val="24"/>
          <w:szCs w:val="24"/>
        </w:rPr>
        <w:t>La resolución</w:t>
      </w:r>
      <w:r w:rsidR="001805F8" w:rsidRPr="00FA1CE8">
        <w:rPr>
          <w:rFonts w:ascii="Arial" w:hAnsi="Arial" w:cs="Arial"/>
          <w:color w:val="000000"/>
          <w:sz w:val="24"/>
          <w:szCs w:val="24"/>
        </w:rPr>
        <w:t xml:space="preserve"> explica que </w:t>
      </w:r>
      <w:r w:rsidR="001805F8" w:rsidRPr="00FA1CE8">
        <w:rPr>
          <w:rFonts w:ascii="Arial" w:hAnsi="Arial" w:cs="Arial"/>
          <w:sz w:val="24"/>
          <w:szCs w:val="24"/>
        </w:rPr>
        <w:t xml:space="preserve">la guarda, la crianza y la educación son tres atributos </w:t>
      </w:r>
      <w:r w:rsidRPr="00FA1CE8">
        <w:rPr>
          <w:rFonts w:ascii="Arial" w:hAnsi="Arial" w:cs="Arial"/>
          <w:sz w:val="24"/>
          <w:szCs w:val="24"/>
        </w:rPr>
        <w:t>diferentes e individualizables de la patria potestad (conjunto de deberes y derechos que tienen los padres y las madres respecto a sus hijos e hijas menores de edad)</w:t>
      </w:r>
      <w:r w:rsidR="001805F8" w:rsidRPr="00FA1CE8">
        <w:rPr>
          <w:rFonts w:ascii="Arial" w:hAnsi="Arial" w:cs="Arial"/>
          <w:sz w:val="24"/>
          <w:szCs w:val="24"/>
        </w:rPr>
        <w:t xml:space="preserve">, </w:t>
      </w:r>
      <w:r w:rsidRPr="00FA1CE8">
        <w:rPr>
          <w:rFonts w:ascii="Arial" w:hAnsi="Arial" w:cs="Arial"/>
          <w:sz w:val="24"/>
          <w:szCs w:val="24"/>
        </w:rPr>
        <w:t xml:space="preserve">y que si bien </w:t>
      </w:r>
      <w:r w:rsidR="001805F8" w:rsidRPr="00FA1CE8">
        <w:rPr>
          <w:rFonts w:ascii="Arial" w:hAnsi="Arial" w:cs="Arial"/>
          <w:sz w:val="24"/>
          <w:szCs w:val="24"/>
        </w:rPr>
        <w:t>una au</w:t>
      </w:r>
      <w:r w:rsidRPr="00FA1CE8">
        <w:rPr>
          <w:rFonts w:ascii="Arial" w:hAnsi="Arial" w:cs="Arial"/>
          <w:sz w:val="24"/>
          <w:szCs w:val="24"/>
        </w:rPr>
        <w:t>toridad judicial puede fijar</w:t>
      </w:r>
      <w:r w:rsidR="00C227F7" w:rsidRPr="00FA1CE8">
        <w:rPr>
          <w:rFonts w:ascii="Arial" w:hAnsi="Arial" w:cs="Arial"/>
          <w:sz w:val="24"/>
          <w:szCs w:val="24"/>
        </w:rPr>
        <w:t xml:space="preserve"> –o</w:t>
      </w:r>
      <w:r w:rsidRPr="00FA1CE8">
        <w:rPr>
          <w:rFonts w:ascii="Arial" w:hAnsi="Arial" w:cs="Arial"/>
          <w:sz w:val="24"/>
          <w:szCs w:val="24"/>
        </w:rPr>
        <w:t xml:space="preserve"> </w:t>
      </w:r>
      <w:r w:rsidR="001805F8" w:rsidRPr="00FA1CE8">
        <w:rPr>
          <w:rFonts w:ascii="Arial" w:hAnsi="Arial" w:cs="Arial"/>
          <w:sz w:val="24"/>
          <w:szCs w:val="24"/>
        </w:rPr>
        <w:t xml:space="preserve">los </w:t>
      </w:r>
      <w:r w:rsidRPr="00FA1CE8">
        <w:rPr>
          <w:rFonts w:ascii="Arial" w:hAnsi="Arial" w:cs="Arial"/>
          <w:sz w:val="24"/>
          <w:szCs w:val="24"/>
        </w:rPr>
        <w:t xml:space="preserve">propios </w:t>
      </w:r>
      <w:r w:rsidR="001805F8" w:rsidRPr="00FA1CE8">
        <w:rPr>
          <w:rFonts w:ascii="Arial" w:hAnsi="Arial" w:cs="Arial"/>
          <w:sz w:val="24"/>
          <w:szCs w:val="24"/>
        </w:rPr>
        <w:t>progenitores pueden pactar, cuál de ellos ejercerá el atributo de la guarda, tenencia o custodia de sus</w:t>
      </w:r>
      <w:r w:rsidRPr="00FA1CE8">
        <w:rPr>
          <w:rFonts w:ascii="Arial" w:hAnsi="Arial" w:cs="Arial"/>
          <w:sz w:val="24"/>
          <w:szCs w:val="24"/>
        </w:rPr>
        <w:t xml:space="preserve"> hijos e hijas</w:t>
      </w:r>
      <w:r w:rsidR="00C227F7" w:rsidRPr="00FA1CE8">
        <w:rPr>
          <w:rFonts w:ascii="Arial" w:hAnsi="Arial" w:cs="Arial"/>
          <w:sz w:val="24"/>
          <w:szCs w:val="24"/>
        </w:rPr>
        <w:t>–</w:t>
      </w:r>
      <w:r w:rsidRPr="00FA1CE8">
        <w:rPr>
          <w:rFonts w:ascii="Arial" w:hAnsi="Arial" w:cs="Arial"/>
          <w:sz w:val="24"/>
          <w:szCs w:val="24"/>
        </w:rPr>
        <w:t xml:space="preserve"> </w:t>
      </w:r>
      <w:r w:rsidR="001805F8" w:rsidRPr="00FA1CE8">
        <w:rPr>
          <w:rFonts w:ascii="Arial" w:hAnsi="Arial" w:cs="Arial"/>
          <w:sz w:val="24"/>
          <w:szCs w:val="24"/>
        </w:rPr>
        <w:t xml:space="preserve">la educación y la crianza de los </w:t>
      </w:r>
      <w:r w:rsidR="00C227F7" w:rsidRPr="00FA1CE8">
        <w:rPr>
          <w:rFonts w:ascii="Arial" w:hAnsi="Arial" w:cs="Arial"/>
          <w:sz w:val="24"/>
          <w:szCs w:val="24"/>
        </w:rPr>
        <w:t>hijos e hijas es responsabilidad tanto de</w:t>
      </w:r>
      <w:r w:rsidR="001805F8" w:rsidRPr="00FA1CE8">
        <w:rPr>
          <w:rFonts w:ascii="Arial" w:hAnsi="Arial" w:cs="Arial"/>
          <w:sz w:val="24"/>
          <w:szCs w:val="24"/>
        </w:rPr>
        <w:t xml:space="preserve">l padre </w:t>
      </w:r>
      <w:r w:rsidR="00C227F7" w:rsidRPr="00FA1CE8">
        <w:rPr>
          <w:rFonts w:ascii="Arial" w:hAnsi="Arial" w:cs="Arial"/>
          <w:sz w:val="24"/>
          <w:szCs w:val="24"/>
        </w:rPr>
        <w:t xml:space="preserve">como de </w:t>
      </w:r>
      <w:r w:rsidR="001805F8" w:rsidRPr="00FA1CE8">
        <w:rPr>
          <w:rFonts w:ascii="Arial" w:hAnsi="Arial" w:cs="Arial"/>
          <w:sz w:val="24"/>
          <w:szCs w:val="24"/>
        </w:rPr>
        <w:t xml:space="preserve">la madre, independientemente </w:t>
      </w:r>
      <w:r w:rsidR="001805F8" w:rsidRPr="00FA1CE8">
        <w:rPr>
          <w:rFonts w:ascii="Arial" w:hAnsi="Arial" w:cs="Arial"/>
          <w:sz w:val="24"/>
          <w:szCs w:val="24"/>
        </w:rPr>
        <w:lastRenderedPageBreak/>
        <w:t xml:space="preserve">no sólo de su estado civil, sino también del hecho de que residan juntos o separados. </w:t>
      </w:r>
    </w:p>
    <w:p w:rsidR="00C227F7" w:rsidRPr="00FA1CE8" w:rsidRDefault="00517916" w:rsidP="00507A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1CE8">
        <w:rPr>
          <w:rFonts w:ascii="Arial" w:hAnsi="Arial" w:cs="Arial"/>
          <w:sz w:val="24"/>
          <w:szCs w:val="24"/>
        </w:rPr>
        <w:t xml:space="preserve">“Resulta constitucional y convencionalmente válido afirmar que estos dos atributos de la crianza y de la educación se ejercen de pleno derecho, es decir, sin necesidad de que exista un pronunciamiento expreso de las autoridades judiciales; al tiempo que no son susceptibles de limitarse -y mucho menos anularse- por acuerdo de los progenitores”, </w:t>
      </w:r>
      <w:r w:rsidR="00C227F7" w:rsidRPr="00FA1CE8">
        <w:rPr>
          <w:rFonts w:ascii="Arial" w:hAnsi="Arial" w:cs="Arial"/>
          <w:sz w:val="24"/>
          <w:szCs w:val="24"/>
        </w:rPr>
        <w:t>detalla el magistrado instructor del caso, Mauricio Chacón Jiménez.</w:t>
      </w:r>
    </w:p>
    <w:p w:rsidR="003B3AC1" w:rsidRPr="00FA1CE8" w:rsidRDefault="000570F2" w:rsidP="00507A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1CE8">
        <w:rPr>
          <w:rFonts w:ascii="Arial" w:hAnsi="Arial" w:cs="Arial"/>
          <w:sz w:val="24"/>
          <w:szCs w:val="24"/>
        </w:rPr>
        <w:t>Por tanto</w:t>
      </w:r>
      <w:r w:rsidR="00C227F7" w:rsidRPr="00FA1CE8">
        <w:rPr>
          <w:rFonts w:ascii="Arial" w:hAnsi="Arial" w:cs="Arial"/>
          <w:sz w:val="24"/>
          <w:szCs w:val="24"/>
        </w:rPr>
        <w:t>, el Tribunal constata que hubo una lesión a los derechos fundamentales de la recurrente</w:t>
      </w:r>
      <w:r w:rsidRPr="00FA1CE8">
        <w:rPr>
          <w:rFonts w:ascii="Arial" w:hAnsi="Arial" w:cs="Arial"/>
          <w:sz w:val="24"/>
          <w:szCs w:val="24"/>
        </w:rPr>
        <w:t xml:space="preserve"> (madre de la menor de edad), declara</w:t>
      </w:r>
      <w:r w:rsidR="00C227F7" w:rsidRPr="00FA1CE8">
        <w:rPr>
          <w:rFonts w:ascii="Arial" w:hAnsi="Arial" w:cs="Arial"/>
          <w:sz w:val="24"/>
          <w:szCs w:val="24"/>
        </w:rPr>
        <w:t xml:space="preserve"> el recurso parcialmente con lugar  y orden</w:t>
      </w:r>
      <w:r w:rsidRPr="00FA1CE8">
        <w:rPr>
          <w:rFonts w:ascii="Arial" w:hAnsi="Arial" w:cs="Arial"/>
          <w:sz w:val="24"/>
          <w:szCs w:val="24"/>
        </w:rPr>
        <w:t>a</w:t>
      </w:r>
      <w:r w:rsidR="00C227F7" w:rsidRPr="00FA1CE8">
        <w:rPr>
          <w:rFonts w:ascii="Arial" w:hAnsi="Arial" w:cs="Arial"/>
          <w:sz w:val="24"/>
          <w:szCs w:val="24"/>
        </w:rPr>
        <w:t xml:space="preserve"> a las autoridades del centro educativo privado </w:t>
      </w:r>
      <w:r w:rsidR="00E32B32" w:rsidRPr="00FA1CE8">
        <w:rPr>
          <w:rFonts w:ascii="Arial" w:hAnsi="Arial" w:cs="Arial"/>
          <w:sz w:val="24"/>
          <w:szCs w:val="24"/>
        </w:rPr>
        <w:t>suministrar</w:t>
      </w:r>
      <w:r w:rsidR="002A66CC" w:rsidRPr="00FA1CE8">
        <w:rPr>
          <w:rFonts w:ascii="Arial" w:hAnsi="Arial" w:cs="Arial"/>
          <w:sz w:val="24"/>
          <w:szCs w:val="24"/>
        </w:rPr>
        <w:t>le</w:t>
      </w:r>
      <w:r w:rsidR="00C227F7" w:rsidRPr="00FA1CE8">
        <w:rPr>
          <w:rFonts w:ascii="Arial" w:hAnsi="Arial" w:cs="Arial"/>
          <w:sz w:val="24"/>
          <w:szCs w:val="24"/>
        </w:rPr>
        <w:t xml:space="preserve"> la información relacionada con el expediente académico </w:t>
      </w:r>
      <w:r w:rsidRPr="00FA1CE8">
        <w:rPr>
          <w:rFonts w:ascii="Arial" w:hAnsi="Arial" w:cs="Arial"/>
          <w:sz w:val="24"/>
          <w:szCs w:val="24"/>
        </w:rPr>
        <w:t>de su hija.</w:t>
      </w:r>
    </w:p>
    <w:p w:rsidR="000570F2" w:rsidRDefault="00E06BFE" w:rsidP="00507A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E8">
        <w:rPr>
          <w:rFonts w:ascii="Arial" w:hAnsi="Arial" w:cs="Arial"/>
          <w:sz w:val="24"/>
          <w:szCs w:val="24"/>
        </w:rPr>
        <w:t>El fallo es</w:t>
      </w:r>
      <w:r w:rsidR="000570F2" w:rsidRPr="00FA1CE8">
        <w:rPr>
          <w:rFonts w:ascii="Arial" w:hAnsi="Arial" w:cs="Arial"/>
          <w:sz w:val="24"/>
          <w:szCs w:val="24"/>
        </w:rPr>
        <w:t xml:space="preserve"> parcialmente con lugar porque la recurrente también solicitó en el amparo información sobre las entradas y salidas del centro educativo de su hija, </w:t>
      </w:r>
      <w:r w:rsidRPr="00FA1CE8">
        <w:rPr>
          <w:rFonts w:ascii="Arial" w:hAnsi="Arial" w:cs="Arial"/>
          <w:sz w:val="24"/>
          <w:szCs w:val="24"/>
        </w:rPr>
        <w:t>pretensión</w:t>
      </w:r>
      <w:r w:rsidR="002A66CC" w:rsidRPr="00FA1CE8">
        <w:rPr>
          <w:rFonts w:ascii="Arial" w:hAnsi="Arial" w:cs="Arial"/>
          <w:sz w:val="24"/>
          <w:szCs w:val="24"/>
        </w:rPr>
        <w:t xml:space="preserve"> que</w:t>
      </w:r>
      <w:r w:rsidR="000570F2" w:rsidRPr="00FA1CE8">
        <w:rPr>
          <w:rFonts w:ascii="Arial" w:hAnsi="Arial" w:cs="Arial"/>
          <w:sz w:val="24"/>
          <w:szCs w:val="24"/>
        </w:rPr>
        <w:t xml:space="preserve"> fue rechazada, pues </w:t>
      </w:r>
      <w:r w:rsidR="00507A04" w:rsidRPr="00FA1CE8">
        <w:rPr>
          <w:rFonts w:ascii="Arial" w:hAnsi="Arial" w:cs="Arial"/>
          <w:sz w:val="24"/>
          <w:szCs w:val="24"/>
        </w:rPr>
        <w:t>esa información le concierne</w:t>
      </w:r>
      <w:r w:rsidR="000570F2" w:rsidRPr="00FA1CE8">
        <w:rPr>
          <w:rFonts w:ascii="Arial" w:hAnsi="Arial" w:cs="Arial"/>
          <w:sz w:val="24"/>
          <w:szCs w:val="24"/>
        </w:rPr>
        <w:t xml:space="preserve"> al padre de familia por ser él quien ejerce la guarda de la menor</w:t>
      </w:r>
      <w:r w:rsidR="002A66CC" w:rsidRPr="00FA1CE8">
        <w:rPr>
          <w:rFonts w:ascii="Arial" w:hAnsi="Arial" w:cs="Arial"/>
          <w:sz w:val="24"/>
          <w:szCs w:val="24"/>
        </w:rPr>
        <w:t xml:space="preserve"> de edad</w:t>
      </w:r>
      <w:r w:rsidR="000570F2" w:rsidRPr="00507A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2"/>
        <w:gridCol w:w="6176"/>
      </w:tblGrid>
      <w:tr w:rsidR="00507A04" w:rsidRPr="00D82C53" w:rsidTr="008B74D5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Fecha de votación:</w:t>
            </w:r>
          </w:p>
        </w:tc>
        <w:tc>
          <w:tcPr>
            <w:tcW w:w="6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 xml:space="preserve">Viernes 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3</w:t>
            </w: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 xml:space="preserve"> de ma</w:t>
            </w: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y</w:t>
            </w: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o, 2019.</w:t>
            </w:r>
          </w:p>
        </w:tc>
      </w:tr>
      <w:tr w:rsidR="00507A04" w:rsidRPr="00D82C53" w:rsidTr="008B74D5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Número de fallo: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507A04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2019-7701</w:t>
            </w:r>
          </w:p>
        </w:tc>
      </w:tr>
      <w:tr w:rsidR="00507A04" w:rsidRPr="00D82C53" w:rsidTr="008B74D5">
        <w:trPr>
          <w:trHeight w:val="58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58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Fecha de presentación del amparo: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58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1 de marzo</w:t>
            </w: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, 2019.</w:t>
            </w:r>
          </w:p>
        </w:tc>
      </w:tr>
      <w:tr w:rsidR="00507A04" w:rsidRPr="00D82C53" w:rsidTr="008B74D5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Recurrido</w:t>
            </w: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: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Centro educativo privado</w:t>
            </w:r>
          </w:p>
        </w:tc>
      </w:tr>
      <w:tr w:rsidR="00507A04" w:rsidRPr="00D82C53" w:rsidTr="008B74D5">
        <w:trPr>
          <w:trHeight w:val="144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144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R"/>
              </w:rPr>
              <w:t>Conformación del Tribunal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04" w:rsidRPr="00D82C53" w:rsidRDefault="00507A04" w:rsidP="008B74D5">
            <w:pPr>
              <w:spacing w:after="0" w:line="144" w:lineRule="atLeast"/>
              <w:jc w:val="both"/>
              <w:rPr>
                <w:rFonts w:ascii="Calibri" w:eastAsia="Times New Roman" w:hAnsi="Calibri" w:cs="Times New Roman"/>
                <w:color w:val="222222"/>
                <w:lang w:eastAsia="es-CR"/>
              </w:rPr>
            </w:pP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Fernando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Castillo Víquez, quien preside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; Nancy Hernández López, Luis Fernando Salazar Alvarado, Jorge Araya García; y los suplentes Marta Esquivel Rodríguez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, Ileana Sánchez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 xml:space="preserve">y 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Mauricio Chacón Jiménez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, magistrado instructor</w:t>
            </w:r>
            <w:r w:rsidRPr="00D8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.</w:t>
            </w:r>
          </w:p>
        </w:tc>
      </w:tr>
    </w:tbl>
    <w:p w:rsidR="00507A04" w:rsidRPr="00E91933" w:rsidRDefault="00507A04" w:rsidP="00507A04">
      <w:pPr>
        <w:shd w:val="clear" w:color="auto" w:fill="FFFFFF"/>
        <w:spacing w:line="181" w:lineRule="atLeast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es-CR"/>
        </w:rPr>
      </w:pPr>
    </w:p>
    <w:p w:rsidR="00507A04" w:rsidRPr="002D2E03" w:rsidRDefault="00507A04" w:rsidP="00507A04">
      <w:pPr>
        <w:shd w:val="clear" w:color="auto" w:fill="FFFFFF"/>
        <w:spacing w:line="181" w:lineRule="atLeast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es-CR"/>
        </w:rPr>
      </w:pPr>
      <w:r w:rsidRPr="00E91933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es-CR"/>
        </w:rPr>
        <w:t>Sala Constitucional garante de la dignidad, derechos y libertad de las personas</w:t>
      </w:r>
    </w:p>
    <w:p w:rsidR="00507A04" w:rsidRPr="00507A04" w:rsidRDefault="00507A04" w:rsidP="00507A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7A04" w:rsidRPr="00507A04" w:rsidSect="00724C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548"/>
    <w:multiLevelType w:val="hybridMultilevel"/>
    <w:tmpl w:val="1FEE30A4"/>
    <w:lvl w:ilvl="0" w:tplc="136681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E4E96"/>
    <w:rsid w:val="000570F2"/>
    <w:rsid w:val="00162F4B"/>
    <w:rsid w:val="001805F8"/>
    <w:rsid w:val="002642DB"/>
    <w:rsid w:val="002A66CC"/>
    <w:rsid w:val="00340E26"/>
    <w:rsid w:val="003B3AC1"/>
    <w:rsid w:val="00507A04"/>
    <w:rsid w:val="00517916"/>
    <w:rsid w:val="00724CA4"/>
    <w:rsid w:val="008555E3"/>
    <w:rsid w:val="00915E03"/>
    <w:rsid w:val="009E4E96"/>
    <w:rsid w:val="00C227F7"/>
    <w:rsid w:val="00CD0930"/>
    <w:rsid w:val="00E06BFE"/>
    <w:rsid w:val="00E32B32"/>
    <w:rsid w:val="00E84942"/>
    <w:rsid w:val="00FA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E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A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2</cp:revision>
  <cp:lastPrinted>2019-05-06T15:20:00Z</cp:lastPrinted>
  <dcterms:created xsi:type="dcterms:W3CDTF">2019-05-06T15:27:00Z</dcterms:created>
  <dcterms:modified xsi:type="dcterms:W3CDTF">2019-05-06T15:27:00Z</dcterms:modified>
</cp:coreProperties>
</file>