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464" w:rsidRDefault="00C40464">
      <w:r w:rsidRPr="00C40464">
        <w:drawing>
          <wp:inline distT="0" distB="0" distL="0" distR="0">
            <wp:extent cx="5013740" cy="1272845"/>
            <wp:effectExtent l="19050" t="0" r="0" b="0"/>
            <wp:docPr id="2" name="Imagen 1" descr="C:\Users\amatab\Deskto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tab\Desktop\image001.jpg"/>
                    <pic:cNvPicPr>
                      <a:picLocks noChangeAspect="1" noChangeArrowheads="1"/>
                    </pic:cNvPicPr>
                  </pic:nvPicPr>
                  <pic:blipFill>
                    <a:blip r:embed="rId7"/>
                    <a:srcRect/>
                    <a:stretch>
                      <a:fillRect/>
                    </a:stretch>
                  </pic:blipFill>
                  <pic:spPr bwMode="auto">
                    <a:xfrm>
                      <a:off x="0" y="0"/>
                      <a:ext cx="5013740" cy="1272845"/>
                    </a:xfrm>
                    <a:prstGeom prst="rect">
                      <a:avLst/>
                    </a:prstGeom>
                    <a:noFill/>
                    <a:ln w="9525">
                      <a:noFill/>
                      <a:miter lim="800000"/>
                      <a:headEnd/>
                      <a:tailEnd/>
                    </a:ln>
                  </pic:spPr>
                </pic:pic>
              </a:graphicData>
            </a:graphic>
          </wp:inline>
        </w:drawing>
      </w:r>
    </w:p>
    <w:p w:rsidR="00C40464" w:rsidRDefault="00C40464" w:rsidP="00C40464">
      <w:pPr>
        <w:pStyle w:val="NormalWeb"/>
        <w:shd w:val="clear" w:color="auto" w:fill="FFFFFF"/>
        <w:spacing w:before="0" w:beforeAutospacing="0" w:after="0" w:afterAutospacing="0"/>
        <w:jc w:val="right"/>
        <w:rPr>
          <w:rFonts w:ascii="Calibri" w:hAnsi="Calibri"/>
          <w:color w:val="000000"/>
          <w:sz w:val="18"/>
          <w:szCs w:val="18"/>
        </w:rPr>
      </w:pPr>
      <w:r>
        <w:rPr>
          <w:rFonts w:ascii="Calibri" w:hAnsi="Calibri"/>
          <w:color w:val="000000"/>
          <w:sz w:val="28"/>
          <w:szCs w:val="28"/>
          <w:lang w:val="es-ES"/>
        </w:rPr>
        <w:t>SC-CP-230519</w:t>
      </w:r>
    </w:p>
    <w:p w:rsidR="00C40464" w:rsidRPr="00771D6B" w:rsidRDefault="00C40464" w:rsidP="00771D6B">
      <w:pPr>
        <w:pStyle w:val="NormalWeb"/>
        <w:shd w:val="clear" w:color="auto" w:fill="FFFFFF"/>
        <w:spacing w:before="0" w:beforeAutospacing="0" w:after="0" w:afterAutospacing="0"/>
        <w:jc w:val="right"/>
        <w:rPr>
          <w:rFonts w:ascii="Calibri" w:hAnsi="Calibri"/>
          <w:color w:val="000000"/>
          <w:sz w:val="18"/>
          <w:szCs w:val="18"/>
        </w:rPr>
      </w:pPr>
      <w:r>
        <w:rPr>
          <w:rFonts w:ascii="Calibri" w:hAnsi="Calibri"/>
          <w:color w:val="000000"/>
          <w:sz w:val="28"/>
          <w:szCs w:val="28"/>
          <w:lang w:val="es-ES"/>
        </w:rPr>
        <w:t>San José, 23 de mayo de 2019</w:t>
      </w:r>
    </w:p>
    <w:p w:rsidR="00771D6B" w:rsidRDefault="00771D6B" w:rsidP="00C40464">
      <w:pPr>
        <w:spacing w:line="240" w:lineRule="auto"/>
        <w:jc w:val="center"/>
        <w:rPr>
          <w:rFonts w:ascii="Arial" w:hAnsi="Arial" w:cs="Arial"/>
          <w:b/>
          <w:sz w:val="28"/>
          <w:szCs w:val="28"/>
        </w:rPr>
      </w:pPr>
    </w:p>
    <w:p w:rsidR="00C40464" w:rsidRPr="005F5B69" w:rsidRDefault="00C40464" w:rsidP="00C40464">
      <w:pPr>
        <w:spacing w:line="240" w:lineRule="auto"/>
        <w:jc w:val="center"/>
        <w:rPr>
          <w:rFonts w:ascii="Arial" w:hAnsi="Arial" w:cs="Arial"/>
          <w:b/>
          <w:sz w:val="28"/>
          <w:szCs w:val="28"/>
        </w:rPr>
      </w:pPr>
      <w:r w:rsidRPr="005F5B69">
        <w:rPr>
          <w:rFonts w:ascii="Arial" w:hAnsi="Arial" w:cs="Arial"/>
          <w:b/>
          <w:sz w:val="28"/>
          <w:szCs w:val="28"/>
        </w:rPr>
        <w:t>COMUNICADO DE PRENSA</w:t>
      </w:r>
    </w:p>
    <w:p w:rsidR="00760685" w:rsidRPr="004A7C86" w:rsidRDefault="00C40464" w:rsidP="00760685">
      <w:pPr>
        <w:spacing w:line="240" w:lineRule="auto"/>
        <w:jc w:val="center"/>
        <w:rPr>
          <w:rFonts w:ascii="Arial" w:hAnsi="Arial" w:cs="Arial"/>
          <w:b/>
          <w:sz w:val="24"/>
          <w:szCs w:val="24"/>
        </w:rPr>
      </w:pPr>
      <w:r w:rsidRPr="004A7C86">
        <w:rPr>
          <w:rFonts w:ascii="Arial" w:hAnsi="Arial" w:cs="Arial"/>
          <w:b/>
          <w:sz w:val="24"/>
          <w:szCs w:val="24"/>
        </w:rPr>
        <w:t xml:space="preserve">Sala Constitucional anula </w:t>
      </w:r>
      <w:r w:rsidR="00412317" w:rsidRPr="004A7C86">
        <w:rPr>
          <w:rFonts w:ascii="Arial" w:hAnsi="Arial" w:cs="Arial"/>
          <w:b/>
          <w:sz w:val="24"/>
          <w:szCs w:val="24"/>
        </w:rPr>
        <w:t xml:space="preserve">beneficios </w:t>
      </w:r>
      <w:r w:rsidR="004A7C86" w:rsidRPr="004A7C86">
        <w:rPr>
          <w:rFonts w:ascii="Arial" w:hAnsi="Arial" w:cs="Arial"/>
          <w:b/>
          <w:sz w:val="24"/>
          <w:szCs w:val="24"/>
        </w:rPr>
        <w:t xml:space="preserve">irrazonables y </w:t>
      </w:r>
      <w:r w:rsidR="00412317" w:rsidRPr="004A7C86">
        <w:rPr>
          <w:rFonts w:ascii="Arial" w:hAnsi="Arial" w:cs="Arial"/>
          <w:b/>
          <w:sz w:val="24"/>
          <w:szCs w:val="24"/>
        </w:rPr>
        <w:t>desproporcionados</w:t>
      </w:r>
      <w:r w:rsidRPr="004A7C86">
        <w:rPr>
          <w:rFonts w:ascii="Arial" w:hAnsi="Arial" w:cs="Arial"/>
          <w:b/>
          <w:sz w:val="24"/>
          <w:szCs w:val="24"/>
        </w:rPr>
        <w:t xml:space="preserve"> </w:t>
      </w:r>
      <w:r w:rsidR="00412317" w:rsidRPr="004A7C86">
        <w:rPr>
          <w:rFonts w:ascii="Arial" w:hAnsi="Arial" w:cs="Arial"/>
          <w:b/>
          <w:sz w:val="24"/>
          <w:szCs w:val="24"/>
        </w:rPr>
        <w:t>de</w:t>
      </w:r>
      <w:r w:rsidRPr="004A7C86">
        <w:rPr>
          <w:rFonts w:ascii="Arial" w:hAnsi="Arial" w:cs="Arial"/>
          <w:b/>
          <w:sz w:val="24"/>
          <w:szCs w:val="24"/>
        </w:rPr>
        <w:t xml:space="preserve"> 1</w:t>
      </w:r>
      <w:r w:rsidR="009E2703" w:rsidRPr="004A7C86">
        <w:rPr>
          <w:rFonts w:ascii="Arial" w:hAnsi="Arial" w:cs="Arial"/>
          <w:b/>
          <w:sz w:val="24"/>
          <w:szCs w:val="24"/>
        </w:rPr>
        <w:t>1</w:t>
      </w:r>
      <w:r w:rsidRPr="004A7C86">
        <w:rPr>
          <w:rFonts w:ascii="Arial" w:hAnsi="Arial" w:cs="Arial"/>
          <w:b/>
          <w:sz w:val="24"/>
          <w:szCs w:val="24"/>
        </w:rPr>
        <w:t xml:space="preserve"> artículos </w:t>
      </w:r>
      <w:r w:rsidR="00937747" w:rsidRPr="004A7C86">
        <w:rPr>
          <w:rFonts w:ascii="Arial" w:hAnsi="Arial" w:cs="Arial"/>
          <w:b/>
          <w:sz w:val="24"/>
          <w:szCs w:val="24"/>
        </w:rPr>
        <w:t>de</w:t>
      </w:r>
      <w:r w:rsidRPr="004A7C86">
        <w:rPr>
          <w:rFonts w:ascii="Arial" w:hAnsi="Arial" w:cs="Arial"/>
          <w:b/>
          <w:sz w:val="24"/>
          <w:szCs w:val="24"/>
        </w:rPr>
        <w:t xml:space="preserve"> Convención Colecti</w:t>
      </w:r>
      <w:r w:rsidR="009E2703" w:rsidRPr="004A7C86">
        <w:rPr>
          <w:rFonts w:ascii="Arial" w:hAnsi="Arial" w:cs="Arial"/>
          <w:b/>
          <w:sz w:val="24"/>
          <w:szCs w:val="24"/>
        </w:rPr>
        <w:t>v</w:t>
      </w:r>
      <w:r w:rsidR="004A7C86" w:rsidRPr="004A7C86">
        <w:rPr>
          <w:rFonts w:ascii="Arial" w:hAnsi="Arial" w:cs="Arial"/>
          <w:b/>
          <w:sz w:val="24"/>
          <w:szCs w:val="24"/>
        </w:rPr>
        <w:t xml:space="preserve">a de </w:t>
      </w:r>
      <w:r w:rsidRPr="004A7C86">
        <w:rPr>
          <w:rFonts w:ascii="Arial" w:hAnsi="Arial" w:cs="Arial"/>
          <w:b/>
          <w:sz w:val="24"/>
          <w:szCs w:val="24"/>
        </w:rPr>
        <w:t>Recope</w:t>
      </w:r>
    </w:p>
    <w:p w:rsidR="009E2703" w:rsidRPr="00771D6B" w:rsidRDefault="009E2703" w:rsidP="00771D6B">
      <w:pPr>
        <w:pStyle w:val="Prrafodelista"/>
        <w:numPr>
          <w:ilvl w:val="0"/>
          <w:numId w:val="3"/>
        </w:numPr>
        <w:spacing w:line="240" w:lineRule="auto"/>
        <w:rPr>
          <w:rFonts w:ascii="Arial" w:hAnsi="Arial" w:cs="Arial"/>
          <w:b/>
        </w:rPr>
      </w:pPr>
      <w:r w:rsidRPr="00771D6B">
        <w:rPr>
          <w:rFonts w:ascii="Times New Roman" w:hAnsi="Times New Roman" w:cs="Times New Roman"/>
          <w:i/>
        </w:rPr>
        <w:t xml:space="preserve">Cesantía </w:t>
      </w:r>
      <w:r w:rsidR="00EC490B">
        <w:rPr>
          <w:rFonts w:ascii="Times New Roman" w:hAnsi="Times New Roman" w:cs="Times New Roman"/>
          <w:i/>
        </w:rPr>
        <w:t>superior a los 12 años</w:t>
      </w:r>
      <w:r w:rsidRPr="00771D6B">
        <w:rPr>
          <w:rFonts w:ascii="Times New Roman" w:hAnsi="Times New Roman" w:cs="Times New Roman"/>
          <w:i/>
        </w:rPr>
        <w:t>, licencia con goce salarial por matrimonio de un hijo</w:t>
      </w:r>
      <w:r w:rsidR="00937747" w:rsidRPr="00771D6B">
        <w:rPr>
          <w:rFonts w:ascii="Times New Roman" w:hAnsi="Times New Roman" w:cs="Times New Roman"/>
          <w:i/>
        </w:rPr>
        <w:t>,</w:t>
      </w:r>
      <w:r w:rsidRPr="00771D6B">
        <w:rPr>
          <w:rFonts w:ascii="Times New Roman" w:hAnsi="Times New Roman" w:cs="Times New Roman"/>
          <w:i/>
        </w:rPr>
        <w:t xml:space="preserve"> y subsidios de alimentación son algunos de los excesos declarados inconstitucionales</w:t>
      </w:r>
    </w:p>
    <w:p w:rsidR="00760685" w:rsidRDefault="00760685" w:rsidP="00B656F8">
      <w:pPr>
        <w:spacing w:line="240" w:lineRule="auto"/>
        <w:jc w:val="both"/>
        <w:rPr>
          <w:rFonts w:ascii="Times New Roman" w:hAnsi="Times New Roman" w:cs="Times New Roman"/>
          <w:sz w:val="24"/>
          <w:szCs w:val="24"/>
        </w:rPr>
      </w:pPr>
    </w:p>
    <w:p w:rsidR="00C40464" w:rsidRPr="00B656F8" w:rsidRDefault="00C40464" w:rsidP="00B656F8">
      <w:pPr>
        <w:spacing w:line="240" w:lineRule="auto"/>
        <w:jc w:val="both"/>
        <w:rPr>
          <w:rFonts w:ascii="Times New Roman" w:hAnsi="Times New Roman" w:cs="Times New Roman"/>
          <w:sz w:val="24"/>
          <w:szCs w:val="24"/>
        </w:rPr>
      </w:pPr>
      <w:r w:rsidRPr="00B656F8">
        <w:rPr>
          <w:rFonts w:ascii="Times New Roman" w:hAnsi="Times New Roman" w:cs="Times New Roman"/>
          <w:sz w:val="24"/>
          <w:szCs w:val="24"/>
        </w:rPr>
        <w:t xml:space="preserve">La Sala Constitucional, con fundamento en los principios de razonabilidad y proporcionalidad, </w:t>
      </w:r>
      <w:r w:rsidR="009E2703" w:rsidRPr="00B656F8">
        <w:rPr>
          <w:rFonts w:ascii="Times New Roman" w:hAnsi="Times New Roman" w:cs="Times New Roman"/>
          <w:sz w:val="24"/>
          <w:szCs w:val="24"/>
        </w:rPr>
        <w:t>anuló una serie de de disposiciones presentes en siete artículos de la Convención Colectiva de Trabajo de la Refinadora Costarricense de Petróleo (Recope)</w:t>
      </w:r>
      <w:r w:rsidR="00253B3F">
        <w:rPr>
          <w:rFonts w:ascii="Times New Roman" w:hAnsi="Times New Roman" w:cs="Times New Roman"/>
          <w:sz w:val="24"/>
          <w:szCs w:val="24"/>
        </w:rPr>
        <w:t>,</w:t>
      </w:r>
      <w:r w:rsidR="009E2703" w:rsidRPr="00B656F8">
        <w:rPr>
          <w:rFonts w:ascii="Times New Roman" w:hAnsi="Times New Roman" w:cs="Times New Roman"/>
          <w:sz w:val="24"/>
          <w:szCs w:val="24"/>
        </w:rPr>
        <w:t xml:space="preserve"> y derogó, en su totalidad, otros cuatro artículos.</w:t>
      </w:r>
    </w:p>
    <w:p w:rsidR="001010D3" w:rsidRPr="00B656F8" w:rsidRDefault="009E2703" w:rsidP="00B656F8">
      <w:pPr>
        <w:spacing w:line="240" w:lineRule="auto"/>
        <w:jc w:val="both"/>
        <w:rPr>
          <w:rFonts w:ascii="Times New Roman" w:hAnsi="Times New Roman" w:cs="Times New Roman"/>
          <w:sz w:val="24"/>
          <w:szCs w:val="24"/>
        </w:rPr>
      </w:pPr>
      <w:r w:rsidRPr="00B656F8">
        <w:rPr>
          <w:rFonts w:ascii="Times New Roman" w:hAnsi="Times New Roman" w:cs="Times New Roman"/>
          <w:sz w:val="24"/>
          <w:szCs w:val="24"/>
        </w:rPr>
        <w:t>Entre los excesos declarados inconstitucionales resaltan el tope de auxilio de cesantía</w:t>
      </w:r>
      <w:r w:rsidR="001010D3" w:rsidRPr="00B656F8">
        <w:rPr>
          <w:rFonts w:ascii="Times New Roman" w:hAnsi="Times New Roman" w:cs="Times New Roman"/>
          <w:sz w:val="24"/>
          <w:szCs w:val="24"/>
        </w:rPr>
        <w:t xml:space="preserve"> </w:t>
      </w:r>
      <w:r w:rsidR="00760685">
        <w:rPr>
          <w:rFonts w:ascii="Times New Roman" w:hAnsi="Times New Roman" w:cs="Times New Roman"/>
          <w:sz w:val="24"/>
          <w:szCs w:val="24"/>
        </w:rPr>
        <w:t>superior a los</w:t>
      </w:r>
      <w:r w:rsidR="001010D3" w:rsidRPr="00B656F8">
        <w:rPr>
          <w:rFonts w:ascii="Times New Roman" w:hAnsi="Times New Roman" w:cs="Times New Roman"/>
          <w:sz w:val="24"/>
          <w:szCs w:val="24"/>
        </w:rPr>
        <w:t xml:space="preserve"> 12 años</w:t>
      </w:r>
      <w:r w:rsidR="00760685">
        <w:rPr>
          <w:rFonts w:ascii="Times New Roman" w:hAnsi="Times New Roman" w:cs="Times New Roman"/>
          <w:sz w:val="24"/>
          <w:szCs w:val="24"/>
        </w:rPr>
        <w:t xml:space="preserve"> (límite establecido por la línea jurisprudencial)</w:t>
      </w:r>
      <w:r w:rsidR="001010D3" w:rsidRPr="00B656F8">
        <w:rPr>
          <w:rFonts w:ascii="Times New Roman" w:hAnsi="Times New Roman" w:cs="Times New Roman"/>
          <w:sz w:val="24"/>
          <w:szCs w:val="24"/>
        </w:rPr>
        <w:t>, subsidios en alimentación y</w:t>
      </w:r>
      <w:r w:rsidR="004A7C86">
        <w:rPr>
          <w:rFonts w:ascii="Times New Roman" w:hAnsi="Times New Roman" w:cs="Times New Roman"/>
          <w:sz w:val="24"/>
          <w:szCs w:val="24"/>
        </w:rPr>
        <w:t xml:space="preserve"> </w:t>
      </w:r>
      <w:r w:rsidR="001010D3" w:rsidRPr="00B656F8">
        <w:rPr>
          <w:rFonts w:ascii="Times New Roman" w:hAnsi="Times New Roman" w:cs="Times New Roman"/>
          <w:sz w:val="24"/>
          <w:szCs w:val="24"/>
        </w:rPr>
        <w:t xml:space="preserve"> permiso</w:t>
      </w:r>
      <w:r w:rsidR="004A7C86">
        <w:rPr>
          <w:rFonts w:ascii="Times New Roman" w:hAnsi="Times New Roman" w:cs="Times New Roman"/>
          <w:sz w:val="24"/>
          <w:szCs w:val="24"/>
        </w:rPr>
        <w:t>s</w:t>
      </w:r>
      <w:r w:rsidR="001010D3" w:rsidRPr="00B656F8">
        <w:rPr>
          <w:rFonts w:ascii="Times New Roman" w:hAnsi="Times New Roman" w:cs="Times New Roman"/>
          <w:sz w:val="24"/>
          <w:szCs w:val="24"/>
        </w:rPr>
        <w:t xml:space="preserve"> con goce salarial por el matrimonio de un hijo, por ejemplo.</w:t>
      </w:r>
    </w:p>
    <w:p w:rsidR="00B656F8" w:rsidRPr="00B656F8" w:rsidRDefault="001010D3" w:rsidP="00B656F8">
      <w:pPr>
        <w:spacing w:line="240" w:lineRule="auto"/>
        <w:jc w:val="both"/>
        <w:rPr>
          <w:rFonts w:ascii="Times New Roman" w:hAnsi="Times New Roman" w:cs="Times New Roman"/>
          <w:sz w:val="24"/>
          <w:szCs w:val="24"/>
        </w:rPr>
      </w:pPr>
      <w:r w:rsidRPr="00B656F8">
        <w:rPr>
          <w:rFonts w:ascii="Times New Roman" w:hAnsi="Times New Roman" w:cs="Times New Roman"/>
          <w:sz w:val="24"/>
          <w:szCs w:val="24"/>
        </w:rPr>
        <w:t xml:space="preserve">Según el voto de mayoría  </w:t>
      </w:r>
      <w:r w:rsidR="00B656F8" w:rsidRPr="00B656F8">
        <w:rPr>
          <w:rFonts w:ascii="Times New Roman" w:hAnsi="Times New Roman" w:cs="Times New Roman"/>
          <w:sz w:val="24"/>
          <w:szCs w:val="24"/>
        </w:rPr>
        <w:t>N° 2019-00</w:t>
      </w:r>
      <w:r w:rsidR="00B656F8">
        <w:rPr>
          <w:rFonts w:ascii="Times New Roman" w:hAnsi="Times New Roman" w:cs="Times New Roman"/>
          <w:sz w:val="24"/>
          <w:szCs w:val="24"/>
        </w:rPr>
        <w:t>9226</w:t>
      </w:r>
      <w:r w:rsidR="00B656F8" w:rsidRPr="00B656F8">
        <w:rPr>
          <w:rFonts w:ascii="Times New Roman" w:hAnsi="Times New Roman" w:cs="Times New Roman"/>
          <w:sz w:val="24"/>
          <w:szCs w:val="24"/>
        </w:rPr>
        <w:t>, los beneficios citados viol</w:t>
      </w:r>
      <w:r w:rsidR="00760685">
        <w:rPr>
          <w:rFonts w:ascii="Times New Roman" w:hAnsi="Times New Roman" w:cs="Times New Roman"/>
          <w:sz w:val="24"/>
          <w:szCs w:val="24"/>
        </w:rPr>
        <w:t>entan</w:t>
      </w:r>
      <w:r w:rsidR="00B656F8" w:rsidRPr="00B656F8">
        <w:rPr>
          <w:rFonts w:ascii="Times New Roman" w:hAnsi="Times New Roman" w:cs="Times New Roman"/>
          <w:sz w:val="24"/>
          <w:szCs w:val="24"/>
        </w:rPr>
        <w:t xml:space="preserve"> los principios de</w:t>
      </w:r>
      <w:r w:rsidRPr="00B656F8">
        <w:rPr>
          <w:rFonts w:ascii="Times New Roman" w:hAnsi="Times New Roman" w:cs="Times New Roman"/>
          <w:sz w:val="24"/>
          <w:szCs w:val="24"/>
        </w:rPr>
        <w:t xml:space="preserve"> </w:t>
      </w:r>
      <w:r w:rsidR="00B656F8" w:rsidRPr="00B656F8">
        <w:rPr>
          <w:rFonts w:ascii="Times New Roman" w:hAnsi="Times New Roman" w:cs="Times New Roman"/>
          <w:sz w:val="24"/>
          <w:szCs w:val="24"/>
        </w:rPr>
        <w:t xml:space="preserve">razonabilidad de la norma, de </w:t>
      </w:r>
      <w:r w:rsidR="004A7C86">
        <w:rPr>
          <w:rFonts w:ascii="Times New Roman" w:hAnsi="Times New Roman" w:cs="Times New Roman"/>
          <w:sz w:val="24"/>
          <w:szCs w:val="24"/>
        </w:rPr>
        <w:t>igualdad</w:t>
      </w:r>
      <w:r w:rsidR="00B656F8" w:rsidRPr="00B656F8">
        <w:rPr>
          <w:rFonts w:ascii="Times New Roman" w:hAnsi="Times New Roman" w:cs="Times New Roman"/>
          <w:sz w:val="24"/>
          <w:szCs w:val="24"/>
        </w:rPr>
        <w:t>, legalidad, y austeridad en el gasto de los recursos públicos</w:t>
      </w:r>
      <w:r w:rsidRPr="00B656F8">
        <w:rPr>
          <w:rFonts w:ascii="Times New Roman" w:hAnsi="Times New Roman" w:cs="Times New Roman"/>
          <w:sz w:val="24"/>
          <w:szCs w:val="24"/>
        </w:rPr>
        <w:t>.</w:t>
      </w:r>
    </w:p>
    <w:p w:rsidR="00C40464" w:rsidRPr="00B656F8" w:rsidRDefault="00B656F8" w:rsidP="00B656F8">
      <w:pPr>
        <w:spacing w:line="240" w:lineRule="auto"/>
        <w:jc w:val="both"/>
        <w:rPr>
          <w:rFonts w:ascii="Times New Roman" w:hAnsi="Times New Roman"/>
          <w:sz w:val="24"/>
          <w:szCs w:val="24"/>
        </w:rPr>
      </w:pPr>
      <w:r w:rsidRPr="00B656F8">
        <w:rPr>
          <w:rFonts w:ascii="Times New Roman" w:hAnsi="Times New Roman" w:cs="Times New Roman"/>
          <w:sz w:val="24"/>
          <w:szCs w:val="24"/>
        </w:rPr>
        <w:t>“L</w:t>
      </w:r>
      <w:r w:rsidR="001010D3" w:rsidRPr="00B656F8">
        <w:rPr>
          <w:rFonts w:ascii="Times New Roman" w:hAnsi="Times New Roman"/>
          <w:sz w:val="24"/>
          <w:szCs w:val="24"/>
        </w:rPr>
        <w:t>as Convenciones Colectivas de Trabajo, se encuentran sometidas al Derecho de la Constitución; así, las cláusulas convencionales, deben guardar conformidad con las normas y los principios constitucionales de igualdad, prohibición de discriminación, legalidad, razonabilidad y proporcionalidad, sobre todo, cuando de fondos públicos se trate, sujetos al principio de legalidad presupuestaria</w:t>
      </w:r>
      <w:r w:rsidRPr="00B656F8">
        <w:rPr>
          <w:rFonts w:ascii="Times New Roman" w:hAnsi="Times New Roman"/>
          <w:sz w:val="24"/>
          <w:szCs w:val="24"/>
        </w:rPr>
        <w:t>”, señala la sentencia.</w:t>
      </w:r>
    </w:p>
    <w:p w:rsidR="00760685" w:rsidRDefault="00B656F8" w:rsidP="00B656F8">
      <w:pPr>
        <w:spacing w:line="240" w:lineRule="auto"/>
        <w:jc w:val="both"/>
        <w:rPr>
          <w:rFonts w:ascii="Times New Roman" w:hAnsi="Times New Roman"/>
          <w:sz w:val="24"/>
          <w:szCs w:val="24"/>
        </w:rPr>
      </w:pPr>
      <w:r w:rsidRPr="00B656F8">
        <w:rPr>
          <w:rFonts w:ascii="Times New Roman" w:hAnsi="Times New Roman"/>
          <w:sz w:val="24"/>
          <w:szCs w:val="24"/>
        </w:rPr>
        <w:t>Esta resolución se origina en dos acciones de inconstitucionalidad –acumuladas en el mi</w:t>
      </w:r>
      <w:r w:rsidR="00253B3F">
        <w:rPr>
          <w:rFonts w:ascii="Times New Roman" w:hAnsi="Times New Roman"/>
          <w:sz w:val="24"/>
          <w:szCs w:val="24"/>
        </w:rPr>
        <w:t>s</w:t>
      </w:r>
      <w:r w:rsidRPr="00B656F8">
        <w:rPr>
          <w:rFonts w:ascii="Times New Roman" w:hAnsi="Times New Roman"/>
          <w:sz w:val="24"/>
          <w:szCs w:val="24"/>
        </w:rPr>
        <w:t>mo proceso– promovidas por el Otto Guevara Guth (diputado libertario en el momento en que presentó la gestión) y Enrique Egloff</w:t>
      </w:r>
      <w:r w:rsidR="00583DA2">
        <w:rPr>
          <w:rFonts w:ascii="Times New Roman" w:hAnsi="Times New Roman"/>
          <w:sz w:val="24"/>
          <w:szCs w:val="24"/>
        </w:rPr>
        <w:t xml:space="preserve"> Gerli</w:t>
      </w:r>
      <w:r w:rsidRPr="00B656F8">
        <w:rPr>
          <w:rFonts w:ascii="Times New Roman" w:hAnsi="Times New Roman"/>
          <w:sz w:val="24"/>
          <w:szCs w:val="24"/>
        </w:rPr>
        <w:t>, representante de la Cámara de Industrias de Costa Rica</w:t>
      </w:r>
      <w:r w:rsidR="00253B3F">
        <w:rPr>
          <w:rFonts w:ascii="Times New Roman" w:hAnsi="Times New Roman"/>
          <w:sz w:val="24"/>
          <w:szCs w:val="24"/>
        </w:rPr>
        <w:t>, en las que se impugn</w:t>
      </w:r>
      <w:r w:rsidR="00760685">
        <w:rPr>
          <w:rFonts w:ascii="Times New Roman" w:hAnsi="Times New Roman"/>
          <w:sz w:val="24"/>
          <w:szCs w:val="24"/>
        </w:rPr>
        <w:t xml:space="preserve">aron </w:t>
      </w:r>
      <w:r w:rsidR="004A7C86">
        <w:rPr>
          <w:rFonts w:ascii="Times New Roman" w:hAnsi="Times New Roman"/>
          <w:sz w:val="24"/>
          <w:szCs w:val="24"/>
        </w:rPr>
        <w:t xml:space="preserve">varias normas de </w:t>
      </w:r>
      <w:r w:rsidR="00253B3F">
        <w:rPr>
          <w:rFonts w:ascii="Times New Roman" w:hAnsi="Times New Roman"/>
          <w:sz w:val="24"/>
          <w:szCs w:val="24"/>
        </w:rPr>
        <w:t>la Convención Colectiva de Recope</w:t>
      </w:r>
      <w:r w:rsidRPr="00B656F8">
        <w:rPr>
          <w:rFonts w:ascii="Times New Roman" w:hAnsi="Times New Roman"/>
          <w:sz w:val="24"/>
          <w:szCs w:val="24"/>
        </w:rPr>
        <w:t>.</w:t>
      </w:r>
    </w:p>
    <w:p w:rsidR="00760685" w:rsidRDefault="00760685" w:rsidP="00B656F8">
      <w:pPr>
        <w:spacing w:line="240" w:lineRule="auto"/>
        <w:jc w:val="both"/>
        <w:rPr>
          <w:rFonts w:ascii="Times New Roman" w:hAnsi="Times New Roman"/>
          <w:b/>
          <w:sz w:val="24"/>
          <w:szCs w:val="24"/>
        </w:rPr>
      </w:pPr>
    </w:p>
    <w:p w:rsidR="00760685" w:rsidRPr="00760685" w:rsidRDefault="00760685" w:rsidP="00B656F8">
      <w:pPr>
        <w:spacing w:line="240" w:lineRule="auto"/>
        <w:jc w:val="both"/>
        <w:rPr>
          <w:rFonts w:ascii="Times New Roman" w:hAnsi="Times New Roman"/>
          <w:sz w:val="24"/>
          <w:szCs w:val="24"/>
        </w:rPr>
      </w:pPr>
      <w:r w:rsidRPr="00760685">
        <w:rPr>
          <w:rFonts w:ascii="Times New Roman" w:hAnsi="Times New Roman"/>
          <w:b/>
          <w:sz w:val="24"/>
          <w:szCs w:val="24"/>
        </w:rPr>
        <w:lastRenderedPageBreak/>
        <w:t>Derecho del consumidor</w:t>
      </w:r>
    </w:p>
    <w:p w:rsidR="00217485" w:rsidRPr="00217485" w:rsidRDefault="00217485" w:rsidP="00217485">
      <w:pPr>
        <w:spacing w:line="240" w:lineRule="auto"/>
        <w:jc w:val="both"/>
        <w:rPr>
          <w:rFonts w:ascii="Times New Roman" w:hAnsi="Times New Roman"/>
          <w:sz w:val="24"/>
          <w:szCs w:val="24"/>
        </w:rPr>
      </w:pPr>
      <w:r w:rsidRPr="00217485">
        <w:rPr>
          <w:rFonts w:ascii="Times New Roman" w:hAnsi="Times New Roman"/>
          <w:sz w:val="24"/>
          <w:szCs w:val="24"/>
        </w:rPr>
        <w:t>El Tribunal también señala en el fallo que los combustibles derivados del petróleo son un recurso escaso y vital, por lo cual resultan de orden público y deben ser controlados estrictamente por el E</w:t>
      </w:r>
      <w:r w:rsidR="00806080">
        <w:rPr>
          <w:rFonts w:ascii="Times New Roman" w:hAnsi="Times New Roman"/>
          <w:sz w:val="24"/>
          <w:szCs w:val="24"/>
        </w:rPr>
        <w:t>stado. Así, la labor de Recope –</w:t>
      </w:r>
      <w:r w:rsidRPr="00217485">
        <w:rPr>
          <w:rFonts w:ascii="Times New Roman" w:hAnsi="Times New Roman"/>
          <w:sz w:val="24"/>
          <w:szCs w:val="24"/>
        </w:rPr>
        <w:t>importación, refinación y distribución al por mayor de derivados del petróleo</w:t>
      </w:r>
      <w:r w:rsidR="00806080">
        <w:rPr>
          <w:rFonts w:ascii="Times New Roman" w:hAnsi="Times New Roman"/>
          <w:sz w:val="24"/>
          <w:szCs w:val="24"/>
        </w:rPr>
        <w:t>–</w:t>
      </w:r>
      <w:r w:rsidRPr="00217485">
        <w:rPr>
          <w:rFonts w:ascii="Times New Roman" w:hAnsi="Times New Roman"/>
          <w:sz w:val="24"/>
          <w:szCs w:val="24"/>
        </w:rPr>
        <w:t xml:space="preserve"> es de vital importancia para el país y sus habitantes.</w:t>
      </w:r>
    </w:p>
    <w:p w:rsidR="00217485" w:rsidRPr="00B656F8" w:rsidRDefault="00217485" w:rsidP="00217485">
      <w:pPr>
        <w:spacing w:line="240" w:lineRule="auto"/>
        <w:jc w:val="both"/>
        <w:rPr>
          <w:rFonts w:ascii="Times New Roman" w:hAnsi="Times New Roman"/>
          <w:sz w:val="24"/>
          <w:szCs w:val="24"/>
        </w:rPr>
      </w:pPr>
      <w:r w:rsidRPr="00217485">
        <w:rPr>
          <w:rFonts w:ascii="Times New Roman" w:hAnsi="Times New Roman"/>
          <w:sz w:val="24"/>
          <w:szCs w:val="24"/>
        </w:rPr>
        <w:t>Lo anterior, denota que la labor de Recope tiene una incidencia central en los consumidores. “Las cláusulas convencionales tienen su razón de ser, en parte, para proteger los derechos de los trabajadores, mejorando o superando su mínimo esencial, con el objetivo buscar siempre la paz social. Sin embargo, como se mencionó, estas normas deben respetar los derechos fundamentales acogidos en nuestra Constitución Política, es decir, deben respetar los derechos de los consumidores”, dicta la sentencia.</w:t>
      </w:r>
    </w:p>
    <w:p w:rsidR="00B656F8" w:rsidRPr="00B656F8" w:rsidRDefault="00B656F8" w:rsidP="00B656F8">
      <w:pPr>
        <w:spacing w:line="240" w:lineRule="auto"/>
        <w:jc w:val="both"/>
        <w:rPr>
          <w:rFonts w:ascii="Times New Roman" w:hAnsi="Times New Roman" w:cs="Times New Roman"/>
          <w:b/>
          <w:sz w:val="24"/>
          <w:szCs w:val="24"/>
        </w:rPr>
      </w:pPr>
      <w:r w:rsidRPr="00B656F8">
        <w:rPr>
          <w:rFonts w:ascii="Times New Roman" w:hAnsi="Times New Roman" w:cs="Times New Roman"/>
          <w:b/>
          <w:sz w:val="24"/>
          <w:szCs w:val="24"/>
        </w:rPr>
        <w:t>Doble sesión</w:t>
      </w:r>
    </w:p>
    <w:p w:rsidR="00B656F8" w:rsidRPr="00B656F8" w:rsidRDefault="00B656F8" w:rsidP="00B656F8">
      <w:pPr>
        <w:spacing w:line="240" w:lineRule="auto"/>
        <w:jc w:val="both"/>
        <w:rPr>
          <w:rFonts w:ascii="Times New Roman" w:hAnsi="Times New Roman" w:cs="Times New Roman"/>
          <w:sz w:val="24"/>
          <w:szCs w:val="24"/>
        </w:rPr>
      </w:pPr>
      <w:r w:rsidRPr="00B656F8">
        <w:rPr>
          <w:rFonts w:ascii="Times New Roman" w:hAnsi="Times New Roman" w:cs="Times New Roman"/>
          <w:sz w:val="24"/>
          <w:szCs w:val="24"/>
        </w:rPr>
        <w:t xml:space="preserve">Este miércoles 22 de mayo, con el fin de resolver la mayor cantidad de acciones posibles, los magistrados y magistradas de la Sala Constitucional sesionaron en jornada doble (mañana y tarde); la medida se repetirá una vez al mes y  responde al alto circulante de amparos, hábeas corpus, acciones y consultas que este Tribunal, garante de la dignidad, los derechos y libertad de las personas, recibe cada día. </w:t>
      </w:r>
    </w:p>
    <w:p w:rsidR="00A9380F" w:rsidRPr="00771D6B" w:rsidRDefault="00B656F8" w:rsidP="00771D6B">
      <w:pPr>
        <w:spacing w:line="240" w:lineRule="auto"/>
        <w:jc w:val="both"/>
        <w:rPr>
          <w:rFonts w:ascii="Times New Roman" w:hAnsi="Times New Roman" w:cs="Times New Roman"/>
          <w:sz w:val="24"/>
          <w:szCs w:val="24"/>
        </w:rPr>
      </w:pPr>
      <w:r w:rsidRPr="00B656F8">
        <w:rPr>
          <w:rFonts w:ascii="Times New Roman" w:hAnsi="Times New Roman" w:cs="Times New Roman"/>
          <w:sz w:val="24"/>
          <w:szCs w:val="24"/>
        </w:rPr>
        <w:t>Solo en el 2018, la Sala Constitucional votó 21.855 asuntos, lo que arroja un promedio de 1.821 por mes.</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2"/>
        <w:gridCol w:w="6176"/>
        <w:gridCol w:w="38"/>
      </w:tblGrid>
      <w:tr w:rsidR="00A9380F" w:rsidRPr="00D82C53" w:rsidTr="00A9380F">
        <w:trPr>
          <w:gridAfter w:val="1"/>
          <w:wAfter w:w="38" w:type="dxa"/>
        </w:trPr>
        <w:tc>
          <w:tcPr>
            <w:tcW w:w="2812" w:type="dxa"/>
            <w:shd w:val="clear" w:color="auto" w:fill="DBE5F1" w:themeFill="accent1" w:themeFillTint="33"/>
            <w:hideMark/>
          </w:tcPr>
          <w:p w:rsidR="00A9380F" w:rsidRPr="00D82C53" w:rsidRDefault="00A9380F" w:rsidP="00BF2E6C">
            <w:pPr>
              <w:rPr>
                <w:rFonts w:ascii="Calibri" w:eastAsia="Times New Roman" w:hAnsi="Calibri" w:cs="Times New Roman"/>
                <w:color w:val="222222"/>
                <w:lang w:eastAsia="es-CR"/>
              </w:rPr>
            </w:pPr>
            <w:r w:rsidRPr="00D82C53">
              <w:rPr>
                <w:rFonts w:ascii="Arial" w:eastAsia="Times New Roman" w:hAnsi="Arial" w:cs="Arial"/>
                <w:color w:val="222222"/>
                <w:sz w:val="16"/>
                <w:szCs w:val="16"/>
                <w:lang w:eastAsia="es-CR"/>
              </w:rPr>
              <w:t>Fecha de votación:</w:t>
            </w:r>
          </w:p>
        </w:tc>
        <w:tc>
          <w:tcPr>
            <w:tcW w:w="6176" w:type="dxa"/>
            <w:hideMark/>
          </w:tcPr>
          <w:p w:rsidR="00A9380F" w:rsidRPr="00D82C53" w:rsidRDefault="00A9380F" w:rsidP="00EE700C">
            <w:pPr>
              <w:rPr>
                <w:rFonts w:ascii="Calibri" w:eastAsia="Times New Roman" w:hAnsi="Calibri" w:cs="Times New Roman"/>
                <w:color w:val="222222"/>
                <w:lang w:eastAsia="es-CR"/>
              </w:rPr>
            </w:pPr>
            <w:r>
              <w:rPr>
                <w:rFonts w:ascii="Arial" w:eastAsia="Times New Roman" w:hAnsi="Arial" w:cs="Arial"/>
                <w:color w:val="222222"/>
                <w:sz w:val="16"/>
                <w:szCs w:val="16"/>
                <w:lang w:eastAsia="es-CR"/>
              </w:rPr>
              <w:t xml:space="preserve">17:20 </w:t>
            </w:r>
            <w:r w:rsidR="00EE700C">
              <w:rPr>
                <w:rFonts w:ascii="Arial" w:eastAsia="Times New Roman" w:hAnsi="Arial" w:cs="Arial"/>
                <w:color w:val="222222"/>
                <w:sz w:val="16"/>
                <w:szCs w:val="16"/>
                <w:lang w:eastAsia="es-CR"/>
              </w:rPr>
              <w:t>p</w:t>
            </w:r>
            <w:r>
              <w:rPr>
                <w:rFonts w:ascii="Arial" w:eastAsia="Times New Roman" w:hAnsi="Arial" w:cs="Arial"/>
                <w:color w:val="222222"/>
                <w:sz w:val="16"/>
                <w:szCs w:val="16"/>
                <w:lang w:eastAsia="es-CR"/>
              </w:rPr>
              <w:t>.m. del miércoles 22</w:t>
            </w:r>
            <w:r w:rsidRPr="00D82C53">
              <w:rPr>
                <w:rFonts w:ascii="Arial" w:eastAsia="Times New Roman" w:hAnsi="Arial" w:cs="Arial"/>
                <w:color w:val="222222"/>
                <w:sz w:val="16"/>
                <w:szCs w:val="16"/>
                <w:lang w:eastAsia="es-CR"/>
              </w:rPr>
              <w:t xml:space="preserve"> de ma</w:t>
            </w:r>
            <w:r>
              <w:rPr>
                <w:rFonts w:ascii="Arial" w:eastAsia="Times New Roman" w:hAnsi="Arial" w:cs="Arial"/>
                <w:color w:val="222222"/>
                <w:sz w:val="16"/>
                <w:szCs w:val="16"/>
                <w:lang w:eastAsia="es-CR"/>
              </w:rPr>
              <w:t>y</w:t>
            </w:r>
            <w:r w:rsidRPr="00D82C53">
              <w:rPr>
                <w:rFonts w:ascii="Arial" w:eastAsia="Times New Roman" w:hAnsi="Arial" w:cs="Arial"/>
                <w:color w:val="222222"/>
                <w:sz w:val="16"/>
                <w:szCs w:val="16"/>
                <w:lang w:eastAsia="es-CR"/>
              </w:rPr>
              <w:t>o, 2019.</w:t>
            </w:r>
          </w:p>
        </w:tc>
      </w:tr>
      <w:tr w:rsidR="00A9380F" w:rsidRPr="00D82C53" w:rsidTr="00A9380F">
        <w:trPr>
          <w:gridAfter w:val="1"/>
          <w:wAfter w:w="38" w:type="dxa"/>
        </w:trPr>
        <w:tc>
          <w:tcPr>
            <w:tcW w:w="2812" w:type="dxa"/>
            <w:shd w:val="clear" w:color="auto" w:fill="DBE5F1" w:themeFill="accent1" w:themeFillTint="33"/>
            <w:hideMark/>
          </w:tcPr>
          <w:p w:rsidR="00A9380F" w:rsidRPr="00A43D0B" w:rsidRDefault="00A9380F" w:rsidP="00BF2E6C">
            <w:pPr>
              <w:rPr>
                <w:rFonts w:ascii="Calibri" w:eastAsia="Times New Roman" w:hAnsi="Calibri" w:cs="Times New Roman"/>
                <w:b/>
                <w:color w:val="222222"/>
                <w:lang w:eastAsia="es-CR"/>
              </w:rPr>
            </w:pPr>
            <w:r w:rsidRPr="00A43D0B">
              <w:rPr>
                <w:rFonts w:ascii="Arial" w:eastAsia="Times New Roman" w:hAnsi="Arial" w:cs="Arial"/>
                <w:b/>
                <w:color w:val="222222"/>
                <w:sz w:val="16"/>
                <w:szCs w:val="16"/>
                <w:lang w:eastAsia="es-CR"/>
              </w:rPr>
              <w:t>Número de fallo:</w:t>
            </w:r>
          </w:p>
        </w:tc>
        <w:tc>
          <w:tcPr>
            <w:tcW w:w="6176" w:type="dxa"/>
            <w:hideMark/>
          </w:tcPr>
          <w:p w:rsidR="00A9380F" w:rsidRPr="00A43D0B" w:rsidRDefault="00A9380F" w:rsidP="00A9380F">
            <w:pPr>
              <w:rPr>
                <w:rFonts w:ascii="Calibri" w:eastAsia="Times New Roman" w:hAnsi="Calibri" w:cs="Times New Roman"/>
                <w:b/>
                <w:color w:val="222222"/>
                <w:lang w:eastAsia="es-CR"/>
              </w:rPr>
            </w:pPr>
            <w:r w:rsidRPr="00A43D0B">
              <w:rPr>
                <w:rFonts w:ascii="Arial" w:eastAsia="Times New Roman" w:hAnsi="Arial" w:cs="Arial"/>
                <w:b/>
                <w:color w:val="222222"/>
                <w:sz w:val="16"/>
                <w:szCs w:val="16"/>
                <w:lang w:eastAsia="es-CR"/>
              </w:rPr>
              <w:t>2019-00</w:t>
            </w:r>
            <w:r>
              <w:rPr>
                <w:rFonts w:ascii="Arial" w:eastAsia="Times New Roman" w:hAnsi="Arial" w:cs="Arial"/>
                <w:b/>
                <w:color w:val="222222"/>
                <w:sz w:val="16"/>
                <w:szCs w:val="16"/>
                <w:lang w:eastAsia="es-CR"/>
              </w:rPr>
              <w:t>9226</w:t>
            </w:r>
          </w:p>
        </w:tc>
      </w:tr>
      <w:tr w:rsidR="00A9380F" w:rsidRPr="00D82C53" w:rsidTr="00A9380F">
        <w:trPr>
          <w:gridAfter w:val="1"/>
          <w:wAfter w:w="38" w:type="dxa"/>
          <w:trHeight w:val="58"/>
        </w:trPr>
        <w:tc>
          <w:tcPr>
            <w:tcW w:w="2812" w:type="dxa"/>
            <w:shd w:val="clear" w:color="auto" w:fill="DBE5F1" w:themeFill="accent1" w:themeFillTint="33"/>
            <w:hideMark/>
          </w:tcPr>
          <w:p w:rsidR="00A9380F" w:rsidRPr="00D82C53" w:rsidRDefault="00A9380F" w:rsidP="00BF2E6C">
            <w:pPr>
              <w:rPr>
                <w:rFonts w:ascii="Calibri" w:eastAsia="Times New Roman" w:hAnsi="Calibri" w:cs="Times New Roman"/>
                <w:color w:val="222222"/>
                <w:lang w:eastAsia="es-CR"/>
              </w:rPr>
            </w:pPr>
            <w:r>
              <w:rPr>
                <w:rFonts w:ascii="Arial" w:eastAsia="Times New Roman" w:hAnsi="Arial" w:cs="Arial"/>
                <w:color w:val="222222"/>
                <w:sz w:val="16"/>
                <w:szCs w:val="16"/>
                <w:lang w:eastAsia="es-CR"/>
              </w:rPr>
              <w:t>Fecha de presentación de la acción</w:t>
            </w:r>
            <w:r w:rsidRPr="00D82C53">
              <w:rPr>
                <w:rFonts w:ascii="Arial" w:eastAsia="Times New Roman" w:hAnsi="Arial" w:cs="Arial"/>
                <w:color w:val="222222"/>
                <w:sz w:val="16"/>
                <w:szCs w:val="16"/>
                <w:lang w:eastAsia="es-CR"/>
              </w:rPr>
              <w:t>:</w:t>
            </w:r>
          </w:p>
        </w:tc>
        <w:tc>
          <w:tcPr>
            <w:tcW w:w="6176" w:type="dxa"/>
            <w:hideMark/>
          </w:tcPr>
          <w:p w:rsidR="00A9380F" w:rsidRPr="00D82C53" w:rsidRDefault="00A9380F" w:rsidP="00A9380F">
            <w:pPr>
              <w:rPr>
                <w:rFonts w:ascii="Calibri" w:eastAsia="Times New Roman" w:hAnsi="Calibri" w:cs="Times New Roman"/>
                <w:color w:val="222222"/>
                <w:lang w:eastAsia="es-CR"/>
              </w:rPr>
            </w:pPr>
            <w:r>
              <w:rPr>
                <w:rFonts w:ascii="Arial" w:eastAsia="Times New Roman" w:hAnsi="Arial" w:cs="Arial"/>
                <w:color w:val="222222"/>
                <w:sz w:val="16"/>
                <w:szCs w:val="16"/>
                <w:lang w:eastAsia="es-CR"/>
              </w:rPr>
              <w:t>18 de junio</w:t>
            </w:r>
            <w:r w:rsidRPr="00D82C53">
              <w:rPr>
                <w:rFonts w:ascii="Arial" w:eastAsia="Times New Roman" w:hAnsi="Arial" w:cs="Arial"/>
                <w:color w:val="222222"/>
                <w:sz w:val="16"/>
                <w:szCs w:val="16"/>
                <w:lang w:eastAsia="es-CR"/>
              </w:rPr>
              <w:t>, 201</w:t>
            </w:r>
            <w:r>
              <w:rPr>
                <w:rFonts w:ascii="Arial" w:eastAsia="Times New Roman" w:hAnsi="Arial" w:cs="Arial"/>
                <w:color w:val="222222"/>
                <w:sz w:val="16"/>
                <w:szCs w:val="16"/>
                <w:lang w:eastAsia="es-CR"/>
              </w:rPr>
              <w:t>6</w:t>
            </w:r>
            <w:r w:rsidRPr="00D82C53">
              <w:rPr>
                <w:rFonts w:ascii="Arial" w:eastAsia="Times New Roman" w:hAnsi="Arial" w:cs="Arial"/>
                <w:color w:val="222222"/>
                <w:sz w:val="16"/>
                <w:szCs w:val="16"/>
                <w:lang w:eastAsia="es-CR"/>
              </w:rPr>
              <w:t>.</w:t>
            </w:r>
          </w:p>
        </w:tc>
      </w:tr>
      <w:tr w:rsidR="00A9380F" w:rsidRPr="00D82C53" w:rsidTr="00A9380F">
        <w:trPr>
          <w:gridAfter w:val="1"/>
          <w:wAfter w:w="38" w:type="dxa"/>
        </w:trPr>
        <w:tc>
          <w:tcPr>
            <w:tcW w:w="2812" w:type="dxa"/>
            <w:shd w:val="clear" w:color="auto" w:fill="DBE5F1" w:themeFill="accent1" w:themeFillTint="33"/>
            <w:hideMark/>
          </w:tcPr>
          <w:p w:rsidR="00A9380F" w:rsidRPr="00D82C53" w:rsidRDefault="00A9380F" w:rsidP="00BF2E6C">
            <w:pPr>
              <w:rPr>
                <w:rFonts w:ascii="Calibri" w:eastAsia="Times New Roman" w:hAnsi="Calibri" w:cs="Times New Roman"/>
                <w:color w:val="222222"/>
                <w:lang w:eastAsia="es-CR"/>
              </w:rPr>
            </w:pPr>
            <w:r>
              <w:rPr>
                <w:rFonts w:ascii="Arial" w:eastAsia="Times New Roman" w:hAnsi="Arial" w:cs="Arial"/>
                <w:color w:val="222222"/>
                <w:sz w:val="16"/>
                <w:szCs w:val="16"/>
                <w:lang w:eastAsia="es-CR"/>
              </w:rPr>
              <w:t>Normas impugnadas</w:t>
            </w:r>
            <w:r w:rsidRPr="00D82C53">
              <w:rPr>
                <w:rFonts w:ascii="Arial" w:eastAsia="Times New Roman" w:hAnsi="Arial" w:cs="Arial"/>
                <w:color w:val="222222"/>
                <w:sz w:val="16"/>
                <w:szCs w:val="16"/>
                <w:lang w:eastAsia="es-CR"/>
              </w:rPr>
              <w:t>:</w:t>
            </w:r>
          </w:p>
        </w:tc>
        <w:tc>
          <w:tcPr>
            <w:tcW w:w="6176" w:type="dxa"/>
            <w:hideMark/>
          </w:tcPr>
          <w:p w:rsidR="00A9380F" w:rsidRPr="00D82C53" w:rsidRDefault="00761DDD" w:rsidP="00761DDD">
            <w:pPr>
              <w:rPr>
                <w:rFonts w:ascii="Calibri" w:eastAsia="Times New Roman" w:hAnsi="Calibri" w:cs="Times New Roman"/>
                <w:color w:val="222222"/>
                <w:lang w:eastAsia="es-CR"/>
              </w:rPr>
            </w:pPr>
            <w:r>
              <w:rPr>
                <w:rFonts w:ascii="Arial" w:eastAsia="Times New Roman" w:hAnsi="Arial" w:cs="Arial"/>
                <w:color w:val="222222"/>
                <w:sz w:val="16"/>
                <w:szCs w:val="16"/>
                <w:lang w:eastAsia="es-CR"/>
              </w:rPr>
              <w:t>L</w:t>
            </w:r>
            <w:r w:rsidRPr="00761DDD">
              <w:rPr>
                <w:rFonts w:ascii="Arial" w:eastAsia="Times New Roman" w:hAnsi="Arial" w:cs="Arial"/>
                <w:color w:val="222222"/>
                <w:sz w:val="16"/>
                <w:szCs w:val="16"/>
                <w:lang w:eastAsia="es-CR"/>
              </w:rPr>
              <w:t xml:space="preserve">os artículos 32, 38, 48, 85, 103, 104, 105, 106, 107, 108, 110, 110 bis y su transitorio, 137, 141, 142 inciso d) de la Convención Colectiva </w:t>
            </w:r>
            <w:r w:rsidR="00A9380F">
              <w:rPr>
                <w:rFonts w:ascii="Arial" w:eastAsia="Times New Roman" w:hAnsi="Arial" w:cs="Arial"/>
                <w:color w:val="222222"/>
                <w:sz w:val="16"/>
                <w:szCs w:val="16"/>
                <w:lang w:eastAsia="es-CR"/>
              </w:rPr>
              <w:t>de Trabajo</w:t>
            </w:r>
            <w:r w:rsidR="00A9380F" w:rsidRPr="00587AEE">
              <w:rPr>
                <w:rFonts w:ascii="Arial" w:eastAsia="Times New Roman" w:hAnsi="Arial" w:cs="Arial"/>
                <w:color w:val="222222"/>
                <w:sz w:val="16"/>
                <w:szCs w:val="16"/>
                <w:lang w:eastAsia="es-CR"/>
              </w:rPr>
              <w:t xml:space="preserve"> de </w:t>
            </w:r>
            <w:r w:rsidR="00A9380F">
              <w:rPr>
                <w:rFonts w:ascii="Arial" w:eastAsia="Times New Roman" w:hAnsi="Arial" w:cs="Arial"/>
                <w:color w:val="222222"/>
                <w:sz w:val="16"/>
                <w:szCs w:val="16"/>
                <w:lang w:eastAsia="es-CR"/>
              </w:rPr>
              <w:t>Recope</w:t>
            </w:r>
          </w:p>
        </w:tc>
      </w:tr>
      <w:tr w:rsidR="00A9380F" w:rsidRPr="00D82C53" w:rsidTr="00A9380F">
        <w:trPr>
          <w:gridAfter w:val="1"/>
          <w:wAfter w:w="38" w:type="dxa"/>
          <w:trHeight w:val="144"/>
        </w:trPr>
        <w:tc>
          <w:tcPr>
            <w:tcW w:w="2812" w:type="dxa"/>
            <w:shd w:val="clear" w:color="auto" w:fill="DBE5F1" w:themeFill="accent1" w:themeFillTint="33"/>
            <w:hideMark/>
          </w:tcPr>
          <w:p w:rsidR="00A9380F" w:rsidRPr="00D82C53" w:rsidRDefault="00A9380F" w:rsidP="00BF2E6C">
            <w:pPr>
              <w:rPr>
                <w:rFonts w:ascii="Calibri" w:eastAsia="Times New Roman" w:hAnsi="Calibri" w:cs="Times New Roman"/>
                <w:color w:val="222222"/>
                <w:lang w:eastAsia="es-CR"/>
              </w:rPr>
            </w:pPr>
            <w:r w:rsidRPr="00D82C53">
              <w:rPr>
                <w:rFonts w:ascii="Arial" w:eastAsia="Times New Roman" w:hAnsi="Arial" w:cs="Arial"/>
                <w:color w:val="222222"/>
                <w:sz w:val="16"/>
                <w:szCs w:val="16"/>
                <w:lang w:eastAsia="es-CR"/>
              </w:rPr>
              <w:t>Conformación del Tribunal</w:t>
            </w:r>
          </w:p>
        </w:tc>
        <w:tc>
          <w:tcPr>
            <w:tcW w:w="6176" w:type="dxa"/>
            <w:hideMark/>
          </w:tcPr>
          <w:p w:rsidR="00A9380F" w:rsidRPr="00D82C53" w:rsidRDefault="00A9380F" w:rsidP="00EE700C">
            <w:pPr>
              <w:rPr>
                <w:rFonts w:ascii="Calibri" w:eastAsia="Times New Roman" w:hAnsi="Calibri" w:cs="Times New Roman"/>
                <w:color w:val="222222"/>
                <w:lang w:eastAsia="es-CR"/>
              </w:rPr>
            </w:pPr>
            <w:r>
              <w:rPr>
                <w:rFonts w:ascii="Arial" w:eastAsia="Times New Roman" w:hAnsi="Arial" w:cs="Arial"/>
                <w:color w:val="000000"/>
                <w:sz w:val="16"/>
                <w:szCs w:val="16"/>
                <w:lang w:eastAsia="es-CR"/>
              </w:rPr>
              <w:t>Fernando Castill</w:t>
            </w:r>
            <w:r w:rsidR="00EE700C">
              <w:rPr>
                <w:rFonts w:ascii="Arial" w:eastAsia="Times New Roman" w:hAnsi="Arial" w:cs="Arial"/>
                <w:color w:val="000000"/>
                <w:sz w:val="16"/>
                <w:szCs w:val="16"/>
                <w:lang w:eastAsia="es-CR"/>
              </w:rPr>
              <w:t>o Víquez, quien preside, Fernando Cruz Castro</w:t>
            </w:r>
            <w:r>
              <w:rPr>
                <w:rFonts w:ascii="Arial" w:eastAsia="Times New Roman" w:hAnsi="Arial" w:cs="Arial"/>
                <w:color w:val="000000"/>
                <w:sz w:val="16"/>
                <w:szCs w:val="16"/>
                <w:lang w:eastAsia="es-CR"/>
              </w:rPr>
              <w:t>,</w:t>
            </w:r>
            <w:r w:rsidRPr="00D82C53">
              <w:rPr>
                <w:rFonts w:ascii="Arial" w:eastAsia="Times New Roman" w:hAnsi="Arial" w:cs="Arial"/>
                <w:color w:val="000000"/>
                <w:sz w:val="16"/>
                <w:szCs w:val="16"/>
                <w:lang w:eastAsia="es-CR"/>
              </w:rPr>
              <w:t xml:space="preserve"> Nancy Hernández López, Luis Fernando Salazar Alvarado</w:t>
            </w:r>
            <w:r w:rsidR="00761DDD">
              <w:rPr>
                <w:rFonts w:ascii="Arial" w:eastAsia="Times New Roman" w:hAnsi="Arial" w:cs="Arial"/>
                <w:color w:val="000000"/>
                <w:sz w:val="16"/>
                <w:szCs w:val="16"/>
                <w:lang w:eastAsia="es-CR"/>
              </w:rPr>
              <w:t xml:space="preserve">, </w:t>
            </w:r>
            <w:r w:rsidRPr="00D82C53">
              <w:rPr>
                <w:rFonts w:ascii="Arial" w:eastAsia="Times New Roman" w:hAnsi="Arial" w:cs="Arial"/>
                <w:color w:val="000000"/>
                <w:sz w:val="16"/>
                <w:szCs w:val="16"/>
                <w:lang w:eastAsia="es-CR"/>
              </w:rPr>
              <w:t xml:space="preserve">Jorge Araya García; y </w:t>
            </w:r>
            <w:r>
              <w:rPr>
                <w:rFonts w:ascii="Arial" w:eastAsia="Times New Roman" w:hAnsi="Arial" w:cs="Arial"/>
                <w:color w:val="000000"/>
                <w:sz w:val="16"/>
                <w:szCs w:val="16"/>
                <w:lang w:eastAsia="es-CR"/>
              </w:rPr>
              <w:t>las suplentes Marta Esquivel y Ana María Picado.</w:t>
            </w:r>
          </w:p>
        </w:tc>
      </w:tr>
      <w:tr w:rsidR="00A9380F" w:rsidRPr="00D86F97" w:rsidTr="00A9380F">
        <w:tc>
          <w:tcPr>
            <w:tcW w:w="2812" w:type="dxa"/>
            <w:shd w:val="clear" w:color="auto" w:fill="DBE5F1" w:themeFill="accent1" w:themeFillTint="33"/>
          </w:tcPr>
          <w:p w:rsidR="00A9380F" w:rsidRPr="00D86F97" w:rsidRDefault="00761DDD" w:rsidP="00BF2E6C">
            <w:pPr>
              <w:rPr>
                <w:rFonts w:ascii="Arial" w:eastAsia="Times New Roman" w:hAnsi="Arial" w:cs="Arial"/>
                <w:iCs/>
                <w:color w:val="000000"/>
                <w:sz w:val="16"/>
                <w:szCs w:val="16"/>
                <w:lang w:eastAsia="es-CR"/>
              </w:rPr>
            </w:pPr>
            <w:r>
              <w:rPr>
                <w:rFonts w:ascii="Arial" w:eastAsia="Times New Roman" w:hAnsi="Arial" w:cs="Arial"/>
                <w:iCs/>
                <w:color w:val="000000"/>
                <w:sz w:val="16"/>
                <w:szCs w:val="16"/>
                <w:lang w:eastAsia="es-CR"/>
              </w:rPr>
              <w:t>Votos salvados</w:t>
            </w:r>
          </w:p>
        </w:tc>
        <w:tc>
          <w:tcPr>
            <w:tcW w:w="6214" w:type="dxa"/>
            <w:gridSpan w:val="2"/>
          </w:tcPr>
          <w:p w:rsidR="00A9380F" w:rsidRPr="00D86F97" w:rsidRDefault="00761DDD" w:rsidP="00270070">
            <w:pPr>
              <w:rPr>
                <w:rFonts w:ascii="Arial" w:eastAsia="Times New Roman" w:hAnsi="Arial" w:cs="Arial"/>
                <w:iCs/>
                <w:color w:val="000000"/>
                <w:sz w:val="16"/>
                <w:szCs w:val="16"/>
                <w:lang w:eastAsia="es-CR"/>
              </w:rPr>
            </w:pPr>
            <w:r w:rsidRPr="00761DDD">
              <w:rPr>
                <w:rFonts w:ascii="Arial" w:eastAsia="Times New Roman" w:hAnsi="Arial" w:cs="Arial"/>
                <w:iCs/>
                <w:color w:val="000000"/>
                <w:sz w:val="16"/>
                <w:szCs w:val="16"/>
                <w:lang w:eastAsia="es-CR"/>
              </w:rPr>
              <w:t xml:space="preserve">El Magistrado Cruz Castro salva el voto y declara sin lugar la acción en cuanto al artículo 142 de la Convención Colectiva y estima constitucional un tope máximo de veinte meses de cesantía. Los </w:t>
            </w:r>
            <w:r w:rsidR="00270070">
              <w:rPr>
                <w:rFonts w:ascii="Arial" w:eastAsia="Times New Roman" w:hAnsi="Arial" w:cs="Arial"/>
                <w:iCs/>
                <w:color w:val="000000"/>
                <w:sz w:val="16"/>
                <w:szCs w:val="16"/>
                <w:lang w:eastAsia="es-CR"/>
              </w:rPr>
              <w:t>m</w:t>
            </w:r>
            <w:r w:rsidRPr="00761DDD">
              <w:rPr>
                <w:rFonts w:ascii="Arial" w:eastAsia="Times New Roman" w:hAnsi="Arial" w:cs="Arial"/>
                <w:iCs/>
                <w:color w:val="000000"/>
                <w:sz w:val="16"/>
                <w:szCs w:val="16"/>
                <w:lang w:eastAsia="es-CR"/>
              </w:rPr>
              <w:t>agistrados Castillo Víquez y Hernández López salvan parcialmente el voto y declaran inconstitucional el artículo 36 en todas aquellas incapacidades inferiores a un mes. La Magistrada Esquivel Rodríguez salva el voto únicamente respecto al artículo 137 inciso b) e inciso c) y al artículo 143, los cuales los declara inconstitucionales</w:t>
            </w:r>
            <w:r>
              <w:rPr>
                <w:rFonts w:ascii="Arial" w:eastAsia="Times New Roman" w:hAnsi="Arial" w:cs="Arial"/>
                <w:iCs/>
                <w:color w:val="000000"/>
                <w:sz w:val="16"/>
                <w:szCs w:val="16"/>
                <w:lang w:eastAsia="es-CR"/>
              </w:rPr>
              <w:t>.</w:t>
            </w:r>
          </w:p>
        </w:tc>
      </w:tr>
    </w:tbl>
    <w:p w:rsidR="00761DDD" w:rsidRDefault="00761DDD" w:rsidP="001010D3">
      <w:pPr>
        <w:spacing w:line="240" w:lineRule="auto"/>
        <w:jc w:val="both"/>
        <w:rPr>
          <w:rFonts w:ascii="Times New Roman" w:hAnsi="Times New Roman"/>
          <w:b/>
          <w:sz w:val="28"/>
          <w:szCs w:val="28"/>
        </w:rPr>
      </w:pPr>
    </w:p>
    <w:p w:rsidR="00253B3F" w:rsidRPr="00037189" w:rsidRDefault="00253B3F" w:rsidP="001010D3">
      <w:pPr>
        <w:spacing w:line="240" w:lineRule="auto"/>
        <w:jc w:val="both"/>
        <w:rPr>
          <w:rFonts w:ascii="Times New Roman" w:hAnsi="Times New Roman"/>
          <w:b/>
          <w:sz w:val="28"/>
          <w:szCs w:val="28"/>
        </w:rPr>
      </w:pPr>
      <w:r w:rsidRPr="00037189">
        <w:rPr>
          <w:rFonts w:ascii="Times New Roman" w:hAnsi="Times New Roman"/>
          <w:b/>
          <w:sz w:val="28"/>
          <w:szCs w:val="28"/>
        </w:rPr>
        <w:t>Detalle de los artículos anulados</w:t>
      </w:r>
    </w:p>
    <w:p w:rsidR="00253B3F" w:rsidRDefault="00253B3F" w:rsidP="001010D3">
      <w:pPr>
        <w:spacing w:line="240" w:lineRule="auto"/>
        <w:jc w:val="both"/>
        <w:rPr>
          <w:rFonts w:ascii="Times New Roman" w:hAnsi="Times New Roman"/>
          <w:sz w:val="28"/>
          <w:szCs w:val="28"/>
        </w:rPr>
      </w:pPr>
    </w:p>
    <w:tbl>
      <w:tblPr>
        <w:tblStyle w:val="Tablaconcuadrcula"/>
        <w:tblW w:w="10348" w:type="dxa"/>
        <w:tblInd w:w="-459" w:type="dxa"/>
        <w:tblLayout w:type="fixed"/>
        <w:tblLook w:val="04A0"/>
      </w:tblPr>
      <w:tblGrid>
        <w:gridCol w:w="6947"/>
        <w:gridCol w:w="3401"/>
      </w:tblGrid>
      <w:tr w:rsidR="00F94B14" w:rsidTr="00F94B14">
        <w:tc>
          <w:tcPr>
            <w:tcW w:w="6948" w:type="dxa"/>
          </w:tcPr>
          <w:p w:rsidR="00F94B14" w:rsidRPr="002D2B12" w:rsidRDefault="00F94B14" w:rsidP="00037189">
            <w:pPr>
              <w:jc w:val="both"/>
              <w:rPr>
                <w:rFonts w:ascii="Times New Roman" w:hAnsi="Times New Roman" w:cs="Times New Roman"/>
                <w:sz w:val="24"/>
                <w:szCs w:val="24"/>
              </w:rPr>
            </w:pPr>
            <w:r w:rsidRPr="002D2B12">
              <w:rPr>
                <w:rFonts w:ascii="Times New Roman" w:hAnsi="Times New Roman" w:cs="Times New Roman"/>
                <w:sz w:val="24"/>
                <w:szCs w:val="24"/>
              </w:rPr>
              <w:t>Redacción original</w:t>
            </w:r>
          </w:p>
        </w:tc>
        <w:tc>
          <w:tcPr>
            <w:tcW w:w="3400" w:type="dxa"/>
          </w:tcPr>
          <w:p w:rsidR="00F94B14" w:rsidRPr="002D2B12" w:rsidRDefault="00F94B14" w:rsidP="00037189">
            <w:pPr>
              <w:jc w:val="both"/>
              <w:rPr>
                <w:rFonts w:ascii="Times New Roman" w:hAnsi="Times New Roman" w:cs="Times New Roman"/>
                <w:sz w:val="24"/>
                <w:szCs w:val="24"/>
              </w:rPr>
            </w:pPr>
            <w:r w:rsidRPr="002D2B12">
              <w:rPr>
                <w:rFonts w:ascii="Times New Roman" w:hAnsi="Times New Roman" w:cs="Times New Roman"/>
                <w:sz w:val="24"/>
                <w:szCs w:val="24"/>
              </w:rPr>
              <w:t>Resolución de la Sala</w:t>
            </w:r>
            <w:r w:rsidR="00EE700C">
              <w:rPr>
                <w:rFonts w:ascii="Times New Roman" w:hAnsi="Times New Roman" w:cs="Times New Roman"/>
                <w:sz w:val="24"/>
                <w:szCs w:val="24"/>
              </w:rPr>
              <w:t>: se anulan las siguientes frases o disposiciones</w:t>
            </w:r>
          </w:p>
        </w:tc>
      </w:tr>
      <w:tr w:rsidR="00F94B14" w:rsidTr="00F94B14">
        <w:tc>
          <w:tcPr>
            <w:tcW w:w="6948" w:type="dxa"/>
          </w:tcPr>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b/>
                <w:color w:val="000000"/>
                <w:sz w:val="24"/>
                <w:szCs w:val="24"/>
              </w:rPr>
              <w:t>Artículo 32</w:t>
            </w:r>
            <w:r w:rsidRPr="002D2B12">
              <w:rPr>
                <w:rFonts w:ascii="Times New Roman" w:eastAsia="Times New Roman" w:hAnsi="Times New Roman" w:cs="Times New Roman"/>
                <w:color w:val="000000"/>
                <w:sz w:val="24"/>
                <w:szCs w:val="24"/>
              </w:rPr>
              <w:t>.- Los trabajadores tienen derecho a las siguientes licencias con goce de salario conforme a sus turnos:</w:t>
            </w:r>
          </w:p>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rPr>
              <w:t>1. Por matrimonio: seis días hábiles.</w:t>
            </w:r>
          </w:p>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rPr>
              <w:lastRenderedPageBreak/>
              <w:t xml:space="preserve">2. </w:t>
            </w:r>
            <w:r w:rsidRPr="002D2B12">
              <w:rPr>
                <w:rFonts w:ascii="Times New Roman" w:eastAsia="Times New Roman" w:hAnsi="Times New Roman" w:cs="Times New Roman"/>
                <w:color w:val="000000"/>
                <w:sz w:val="24"/>
                <w:szCs w:val="24"/>
                <w:highlight w:val="yellow"/>
              </w:rPr>
              <w:t>Por matrimonio de un hijo dos días hábiles.</w:t>
            </w:r>
          </w:p>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rPr>
              <w:t>3. Por nacimiento de un hijo o hija se concederá cuatro días por licencia de paternidad.</w:t>
            </w:r>
          </w:p>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rPr>
              <w:t>4. Por fallecimiento de los padres: cuatro días hábiles.</w:t>
            </w:r>
          </w:p>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rPr>
              <w:t>5. Por fallecimiento de cónyuge o hijos: cinco días hábiles.</w:t>
            </w:r>
          </w:p>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rPr>
              <w:t>6. Por fallecimiento de un hermano: dos días hábiles.</w:t>
            </w:r>
          </w:p>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rPr>
              <w:t>En casos especiales, el Director de Área concederá hasta quince días naturales de permiso con goce de salario, conforme a su turno. Se encuentran dentro de estas circunstancias, la enfermedad grave del cónyuge, hijos, padres, o las causas de fuerza mayor o caso fortuito.</w:t>
            </w:r>
          </w:p>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rPr>
              <w:t>Se otorgará hasta un máximo de cinco días hábiles para el cambio de vivienda.</w:t>
            </w:r>
          </w:p>
          <w:p w:rsidR="00F94B14" w:rsidRPr="00771D6B" w:rsidRDefault="00F94B14" w:rsidP="00771D6B">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rPr>
              <w:t>En todos los casos el trabajador estará obligado a justificar el permiso presentando la prueba idónea que así lo acredite”.</w:t>
            </w:r>
          </w:p>
        </w:tc>
        <w:tc>
          <w:tcPr>
            <w:tcW w:w="3400" w:type="dxa"/>
          </w:tcPr>
          <w:p w:rsidR="00F94B14" w:rsidRPr="002D2B12" w:rsidRDefault="00EE700C" w:rsidP="00037189">
            <w:pPr>
              <w:rPr>
                <w:rFonts w:ascii="Times New Roman" w:hAnsi="Times New Roman" w:cs="Times New Roman"/>
                <w:sz w:val="24"/>
                <w:szCs w:val="24"/>
              </w:rPr>
            </w:pPr>
            <w:r>
              <w:rPr>
                <w:rFonts w:ascii="Times New Roman" w:hAnsi="Times New Roman" w:cs="Times New Roman"/>
                <w:sz w:val="24"/>
                <w:szCs w:val="24"/>
              </w:rPr>
              <w:lastRenderedPageBreak/>
              <w:t>De</w:t>
            </w:r>
            <w:r w:rsidR="00F94B14" w:rsidRPr="002D2B12">
              <w:rPr>
                <w:rFonts w:ascii="Times New Roman" w:hAnsi="Times New Roman" w:cs="Times New Roman"/>
                <w:sz w:val="24"/>
                <w:szCs w:val="24"/>
              </w:rPr>
              <w:t>l inciso 2. "</w:t>
            </w:r>
            <w:r w:rsidR="00F94B14" w:rsidRPr="002D2B12">
              <w:rPr>
                <w:rFonts w:ascii="Times New Roman" w:hAnsi="Times New Roman" w:cs="Times New Roman"/>
                <w:sz w:val="24"/>
                <w:szCs w:val="24"/>
                <w:highlight w:val="yellow"/>
              </w:rPr>
              <w:t>Por matrimonio de un hijo dos días hábiles</w:t>
            </w:r>
            <w:r w:rsidR="00F94B14" w:rsidRPr="002D2B12">
              <w:rPr>
                <w:rFonts w:ascii="Times New Roman" w:hAnsi="Times New Roman" w:cs="Times New Roman"/>
                <w:sz w:val="24"/>
                <w:szCs w:val="24"/>
              </w:rPr>
              <w:t xml:space="preserve">".  En cuanto al permiso que se otorga </w:t>
            </w:r>
            <w:r w:rsidR="00F94B14" w:rsidRPr="002D2B12">
              <w:rPr>
                <w:rFonts w:ascii="Times New Roman" w:hAnsi="Times New Roman" w:cs="Times New Roman"/>
                <w:sz w:val="24"/>
                <w:szCs w:val="24"/>
              </w:rPr>
              <w:lastRenderedPageBreak/>
              <w:t>en  casos especiales no es inconstitucional siempre y cuando el dictamen médico fuere expedido por un médico de la Seguridad Social del Estado.</w:t>
            </w:r>
          </w:p>
          <w:p w:rsidR="00F94B14" w:rsidRPr="002D2B12" w:rsidRDefault="00F94B14" w:rsidP="00037189">
            <w:pPr>
              <w:jc w:val="both"/>
              <w:rPr>
                <w:rFonts w:ascii="Times New Roman" w:hAnsi="Times New Roman" w:cs="Times New Roman"/>
                <w:sz w:val="24"/>
                <w:szCs w:val="24"/>
              </w:rPr>
            </w:pPr>
          </w:p>
        </w:tc>
      </w:tr>
      <w:tr w:rsidR="00F94B14" w:rsidTr="00F94B14">
        <w:tc>
          <w:tcPr>
            <w:tcW w:w="6948" w:type="dxa"/>
          </w:tcPr>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b/>
                <w:color w:val="000000"/>
                <w:sz w:val="24"/>
                <w:szCs w:val="24"/>
              </w:rPr>
              <w:lastRenderedPageBreak/>
              <w:t>Artículo 36</w:t>
            </w:r>
            <w:r w:rsidRPr="002D2B12">
              <w:rPr>
                <w:rFonts w:ascii="Times New Roman" w:eastAsia="Times New Roman" w:hAnsi="Times New Roman" w:cs="Times New Roman"/>
                <w:color w:val="000000"/>
                <w:sz w:val="24"/>
                <w:szCs w:val="24"/>
              </w:rPr>
              <w:t>.- En los casos de incapacidad comprobada y amparada por la Caja Costarricense de Seguro Social o el Instituto Nacional de Seguros, con motivo de enfermedad o accidente de trabajo o enfermedad profesional, la Empresa reconocerá a los trabajadores un subsidio en dinero, que sumado al que pague la institución aseguradora, sea igual al 100% del salario que estuviese devengando el servidor.</w:t>
            </w:r>
          </w:p>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rPr>
              <w:t>En caso de incapacidad amparada por la Caja, durante los primeros tres días la Empresa reconocerá a los trabajadores un subsidio del 100%, que se calculará con base en el reporte del subsidio contenido en la última orden patronal emitida por la Caja.</w:t>
            </w:r>
          </w:p>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rPr>
              <w:t>Ese subsidio nunca será inferior al salario total del trabajador.</w:t>
            </w:r>
          </w:p>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rPr>
              <w:t>Para calcular el subsidio, la Empresa se ajustará a lo pagado por la Caja o el Instituto.</w:t>
            </w:r>
          </w:p>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rPr>
              <w:t>Tratándose de riesgos profesionales, en cuanto al plazo, se estará a lo dispuesto por el Código de Trabajo. Cuando por causa de enfermedad o accidente de trabajo resultare una incapacidad parcial permanente, la Empresa reubicará el trabajador en una función compatible con el nuevo estado físico, si no pudiere reubicarlo por situaciones atinentes al trabajador, se estará a lo que disponen el presente Convenio y el Código de Trabajo.</w:t>
            </w:r>
          </w:p>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highlight w:val="yellow"/>
              </w:rPr>
              <w:t>Asimismo, la Empresa cubrirá un cien por ciento del salario devengado, en carácter de subsidio, al trabajador que sufra incapacidad causada por accidente de tránsito, que no constituya riesgo profesional y cuando las respectivas pólizas no alcance</w:t>
            </w:r>
            <w:r w:rsidR="002D2B12">
              <w:rPr>
                <w:rFonts w:ascii="Times New Roman" w:eastAsia="Times New Roman" w:hAnsi="Times New Roman" w:cs="Times New Roman"/>
                <w:color w:val="000000"/>
                <w:sz w:val="24"/>
                <w:szCs w:val="24"/>
                <w:highlight w:val="yellow"/>
              </w:rPr>
              <w:t>n para cubrir este subsidio.</w:t>
            </w:r>
          </w:p>
          <w:p w:rsidR="00F94B14" w:rsidRPr="002D2B12" w:rsidRDefault="00F94B14" w:rsidP="00037189">
            <w:pPr>
              <w:jc w:val="both"/>
              <w:rPr>
                <w:rFonts w:ascii="Times New Roman" w:hAnsi="Times New Roman" w:cs="Times New Roman"/>
                <w:sz w:val="24"/>
                <w:szCs w:val="24"/>
              </w:rPr>
            </w:pPr>
          </w:p>
        </w:tc>
        <w:tc>
          <w:tcPr>
            <w:tcW w:w="3400" w:type="dxa"/>
          </w:tcPr>
          <w:p w:rsidR="00F94B14" w:rsidRPr="002D2B12" w:rsidRDefault="00F94B14" w:rsidP="00037189">
            <w:pPr>
              <w:jc w:val="both"/>
              <w:rPr>
                <w:rFonts w:ascii="Times New Roman" w:hAnsi="Times New Roman" w:cs="Times New Roman"/>
                <w:sz w:val="24"/>
                <w:szCs w:val="24"/>
              </w:rPr>
            </w:pPr>
            <w:r w:rsidRPr="002D2B12">
              <w:rPr>
                <w:rFonts w:ascii="Times New Roman" w:hAnsi="Times New Roman" w:cs="Times New Roman"/>
                <w:sz w:val="24"/>
                <w:szCs w:val="24"/>
              </w:rPr>
              <w:t xml:space="preserve">Del artículo 36, el último párrafo, en cuanto </w:t>
            </w:r>
            <w:r w:rsidRPr="00270070">
              <w:rPr>
                <w:rFonts w:ascii="Times New Roman" w:hAnsi="Times New Roman" w:cs="Times New Roman"/>
                <w:sz w:val="24"/>
                <w:szCs w:val="24"/>
              </w:rPr>
              <w:t>establece</w:t>
            </w:r>
            <w:r w:rsidRPr="002D2B12">
              <w:rPr>
                <w:rFonts w:ascii="Times New Roman" w:hAnsi="Times New Roman" w:cs="Times New Roman"/>
                <w:sz w:val="24"/>
                <w:szCs w:val="24"/>
                <w:highlight w:val="yellow"/>
              </w:rPr>
              <w:t xml:space="preserve"> "Asimismo, la Empresa cubrirá un cien por ciento del salario devengado, en carácter de subsidio, al trabajador que sufra incapacidad causada por accidente de tránsito, que no constituya riesgo profesional y cuando las respectivas pólizas no alcancen para cubrir este subsidio"</w:t>
            </w:r>
            <w:r w:rsidR="002D2B12">
              <w:rPr>
                <w:rFonts w:ascii="Times New Roman" w:hAnsi="Times New Roman" w:cs="Times New Roman"/>
                <w:sz w:val="24"/>
                <w:szCs w:val="24"/>
              </w:rPr>
              <w:t>.</w:t>
            </w:r>
          </w:p>
        </w:tc>
      </w:tr>
      <w:tr w:rsidR="00F94B14" w:rsidTr="00F94B14">
        <w:tc>
          <w:tcPr>
            <w:tcW w:w="6946" w:type="dxa"/>
          </w:tcPr>
          <w:p w:rsidR="00F94B14" w:rsidRPr="002D2B12" w:rsidRDefault="00F94B14" w:rsidP="00037189">
            <w:pPr>
              <w:autoSpaceDE w:val="0"/>
              <w:autoSpaceDN w:val="0"/>
              <w:adjustRightInd w:val="0"/>
              <w:ind w:right="851"/>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b/>
                <w:color w:val="000000"/>
                <w:sz w:val="24"/>
                <w:szCs w:val="24"/>
              </w:rPr>
              <w:t>Artículo 86.- </w:t>
            </w:r>
            <w:r w:rsidRPr="002D2B12">
              <w:rPr>
                <w:rFonts w:ascii="Times New Roman" w:eastAsia="Times New Roman" w:hAnsi="Times New Roman" w:cs="Times New Roman"/>
                <w:color w:val="000000"/>
                <w:sz w:val="24"/>
                <w:szCs w:val="24"/>
              </w:rPr>
              <w:t>El servicio de odontología se ajustará a los siguientes principios:</w:t>
            </w:r>
          </w:p>
          <w:p w:rsidR="00F94B14" w:rsidRPr="002D2B12" w:rsidRDefault="00F94B14" w:rsidP="00037189">
            <w:pPr>
              <w:jc w:val="both"/>
              <w:rPr>
                <w:rFonts w:ascii="Times New Roman" w:hAnsi="Times New Roman" w:cs="Times New Roman"/>
                <w:sz w:val="24"/>
                <w:szCs w:val="24"/>
              </w:rPr>
            </w:pPr>
            <w:r w:rsidRPr="002D2B12">
              <w:rPr>
                <w:rFonts w:ascii="Times New Roman" w:eastAsia="Times New Roman" w:hAnsi="Times New Roman" w:cs="Times New Roman"/>
                <w:color w:val="000000"/>
                <w:sz w:val="24"/>
                <w:szCs w:val="24"/>
              </w:rPr>
              <w:t xml:space="preserve">a) Los trabajadores </w:t>
            </w:r>
            <w:r w:rsidRPr="002D2B12">
              <w:rPr>
                <w:rFonts w:ascii="Times New Roman" w:eastAsia="Times New Roman" w:hAnsi="Times New Roman" w:cs="Times New Roman"/>
                <w:color w:val="000000"/>
                <w:sz w:val="24"/>
                <w:szCs w:val="24"/>
                <w:highlight w:val="yellow"/>
              </w:rPr>
              <w:t>y su núcleo familiar</w:t>
            </w:r>
            <w:r w:rsidRPr="002D2B12">
              <w:rPr>
                <w:rFonts w:ascii="Times New Roman" w:eastAsia="Times New Roman" w:hAnsi="Times New Roman" w:cs="Times New Roman"/>
                <w:color w:val="000000"/>
                <w:sz w:val="24"/>
                <w:szCs w:val="24"/>
              </w:rPr>
              <w:t>, conforme al artículo 85, que utilicen el servicio, deberán cubrir el costo de los materiales para el respectivo tratamiento</w:t>
            </w:r>
          </w:p>
        </w:tc>
        <w:tc>
          <w:tcPr>
            <w:tcW w:w="3402" w:type="dxa"/>
          </w:tcPr>
          <w:p w:rsidR="00F94B14" w:rsidRPr="002D2B12" w:rsidRDefault="00F94B14" w:rsidP="00037189">
            <w:pPr>
              <w:jc w:val="both"/>
              <w:rPr>
                <w:rFonts w:ascii="Times New Roman" w:hAnsi="Times New Roman" w:cs="Times New Roman"/>
                <w:sz w:val="24"/>
                <w:szCs w:val="24"/>
              </w:rPr>
            </w:pPr>
            <w:r w:rsidRPr="002D2B12">
              <w:rPr>
                <w:rFonts w:ascii="Times New Roman" w:hAnsi="Times New Roman" w:cs="Times New Roman"/>
                <w:sz w:val="24"/>
                <w:szCs w:val="24"/>
              </w:rPr>
              <w:t xml:space="preserve">En el artículo 86 inciso a) cuando dice </w:t>
            </w:r>
            <w:r w:rsidRPr="002D2B12">
              <w:rPr>
                <w:rFonts w:ascii="Times New Roman" w:hAnsi="Times New Roman" w:cs="Times New Roman"/>
                <w:sz w:val="24"/>
                <w:szCs w:val="24"/>
                <w:highlight w:val="yellow"/>
              </w:rPr>
              <w:t>"... y su núcleo familiar..."</w:t>
            </w:r>
          </w:p>
        </w:tc>
      </w:tr>
      <w:tr w:rsidR="00F94B14" w:rsidTr="00F94B14">
        <w:tc>
          <w:tcPr>
            <w:tcW w:w="6946" w:type="dxa"/>
          </w:tcPr>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b/>
                <w:color w:val="000000"/>
                <w:sz w:val="24"/>
                <w:szCs w:val="24"/>
              </w:rPr>
              <w:lastRenderedPageBreak/>
              <w:t>Artículo 103</w:t>
            </w:r>
            <w:r w:rsidRPr="002D2B12">
              <w:rPr>
                <w:rFonts w:ascii="Times New Roman" w:eastAsia="Times New Roman" w:hAnsi="Times New Roman" w:cs="Times New Roman"/>
                <w:color w:val="000000"/>
                <w:sz w:val="24"/>
                <w:szCs w:val="24"/>
              </w:rPr>
              <w:t xml:space="preserve">.- La Empresa destinará la suma de once millones doscientos treinta y cinco mil colones (¢11.235.000,00) para desarrollar un Plan de Becas en beneficio de sus trabajadores </w:t>
            </w:r>
            <w:r w:rsidRPr="002D2B12">
              <w:rPr>
                <w:rFonts w:ascii="Times New Roman" w:eastAsia="Times New Roman" w:hAnsi="Times New Roman" w:cs="Times New Roman"/>
                <w:color w:val="000000"/>
                <w:sz w:val="24"/>
                <w:szCs w:val="24"/>
                <w:highlight w:val="yellow"/>
              </w:rPr>
              <w:t>e hijos</w:t>
            </w:r>
            <w:r w:rsidRPr="002D2B12">
              <w:rPr>
                <w:rFonts w:ascii="Times New Roman" w:eastAsia="Times New Roman" w:hAnsi="Times New Roman" w:cs="Times New Roman"/>
                <w:color w:val="000000"/>
                <w:sz w:val="24"/>
                <w:szCs w:val="24"/>
              </w:rPr>
              <w:t>, conforme a la reglamentación dictada por la Comisión de Capacitación y Becas.</w:t>
            </w:r>
          </w:p>
          <w:p w:rsidR="00F94B14" w:rsidRPr="002D2B12" w:rsidRDefault="00F94B14" w:rsidP="00037189">
            <w:pPr>
              <w:jc w:val="both"/>
              <w:rPr>
                <w:rFonts w:ascii="Times New Roman" w:hAnsi="Times New Roman" w:cs="Times New Roman"/>
                <w:sz w:val="24"/>
                <w:szCs w:val="24"/>
              </w:rPr>
            </w:pPr>
          </w:p>
        </w:tc>
        <w:tc>
          <w:tcPr>
            <w:tcW w:w="3402" w:type="dxa"/>
          </w:tcPr>
          <w:p w:rsidR="00F94B14" w:rsidRPr="002D2B12" w:rsidRDefault="00F94B14" w:rsidP="00037189">
            <w:pPr>
              <w:jc w:val="both"/>
              <w:rPr>
                <w:rFonts w:ascii="Times New Roman" w:hAnsi="Times New Roman" w:cs="Times New Roman"/>
                <w:sz w:val="24"/>
                <w:szCs w:val="24"/>
              </w:rPr>
            </w:pPr>
            <w:r w:rsidRPr="002D2B12">
              <w:rPr>
                <w:rFonts w:ascii="Times New Roman" w:hAnsi="Times New Roman" w:cs="Times New Roman"/>
                <w:sz w:val="24"/>
                <w:szCs w:val="24"/>
              </w:rPr>
              <w:t>Del artículo 103, párrafo primero lo siguiente: "...</w:t>
            </w:r>
            <w:r w:rsidRPr="002D2B12">
              <w:rPr>
                <w:rFonts w:ascii="Times New Roman" w:hAnsi="Times New Roman" w:cs="Times New Roman"/>
                <w:sz w:val="24"/>
                <w:szCs w:val="24"/>
                <w:highlight w:val="yellow"/>
              </w:rPr>
              <w:t>e hijos</w:t>
            </w:r>
            <w:r w:rsidRPr="002D2B12">
              <w:rPr>
                <w:rFonts w:ascii="Times New Roman" w:hAnsi="Times New Roman" w:cs="Times New Roman"/>
                <w:sz w:val="24"/>
                <w:szCs w:val="24"/>
              </w:rPr>
              <w:t xml:space="preserve">..." </w:t>
            </w:r>
          </w:p>
        </w:tc>
      </w:tr>
      <w:tr w:rsidR="00F94B14" w:rsidTr="00F94B14">
        <w:tc>
          <w:tcPr>
            <w:tcW w:w="6946" w:type="dxa"/>
          </w:tcPr>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b/>
                <w:color w:val="000000"/>
                <w:sz w:val="24"/>
                <w:szCs w:val="24"/>
              </w:rPr>
              <w:t>Artículo 108</w:t>
            </w:r>
            <w:r w:rsidRPr="002D2B12">
              <w:rPr>
                <w:rFonts w:ascii="Times New Roman" w:eastAsia="Times New Roman" w:hAnsi="Times New Roman" w:cs="Times New Roman"/>
                <w:color w:val="000000"/>
                <w:sz w:val="24"/>
                <w:szCs w:val="24"/>
              </w:rPr>
              <w:t>.- La Empresa destinará la suma de cinco millones seiscientos diecisiete mil colones (¢5.617.000,00) anuales, para la compra de útiles escolares de los hijos de los trabajadores.</w:t>
            </w:r>
          </w:p>
          <w:p w:rsidR="00F94B14" w:rsidRPr="002D2B12" w:rsidRDefault="00F94B14" w:rsidP="00037189">
            <w:pPr>
              <w:autoSpaceDE w:val="0"/>
              <w:autoSpaceDN w:val="0"/>
              <w:adjustRightInd w:val="0"/>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rPr>
              <w:t>Esa suma será entregada al Sindicato en el mes de enero de cada año y este deberá rendir a la Dirección de Recursos Humanos un informe detallado del destino dado a esa partida, dentro de los quince días hábiles siguientes al recibo de éste.</w:t>
            </w:r>
          </w:p>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rPr>
              <w:t>Las partes elaborarán un procedimiento, antes del mes de enero de 2010, de tal forma que la distribución de los útiles se haga en atención a la necesidad económica del beneficiario.</w:t>
            </w:r>
          </w:p>
          <w:p w:rsidR="00F94B14" w:rsidRPr="002D2B12" w:rsidRDefault="00F94B14" w:rsidP="00037189">
            <w:pPr>
              <w:jc w:val="both"/>
              <w:rPr>
                <w:rFonts w:ascii="Times New Roman" w:hAnsi="Times New Roman" w:cs="Times New Roman"/>
                <w:sz w:val="24"/>
                <w:szCs w:val="24"/>
              </w:rPr>
            </w:pPr>
          </w:p>
        </w:tc>
        <w:tc>
          <w:tcPr>
            <w:tcW w:w="3402" w:type="dxa"/>
          </w:tcPr>
          <w:p w:rsidR="00F94B14" w:rsidRPr="002D2B12" w:rsidRDefault="00F94B14" w:rsidP="00037189">
            <w:pPr>
              <w:jc w:val="both"/>
              <w:rPr>
                <w:rFonts w:ascii="Times New Roman" w:hAnsi="Times New Roman" w:cs="Times New Roman"/>
                <w:sz w:val="24"/>
                <w:szCs w:val="24"/>
              </w:rPr>
            </w:pPr>
            <w:r w:rsidRPr="002D2B12">
              <w:rPr>
                <w:rFonts w:ascii="Times New Roman" w:hAnsi="Times New Roman" w:cs="Times New Roman"/>
                <w:sz w:val="24"/>
                <w:szCs w:val="24"/>
              </w:rPr>
              <w:t>Totalidad del artículo 108 (ESTE ARTÍCULO HABÍA SIDO PREVIAMENTE DEROGADO)</w:t>
            </w:r>
          </w:p>
        </w:tc>
      </w:tr>
      <w:tr w:rsidR="00F94B14" w:rsidTr="00F94B14">
        <w:tc>
          <w:tcPr>
            <w:tcW w:w="6946" w:type="dxa"/>
          </w:tcPr>
          <w:p w:rsidR="00F94B14" w:rsidRPr="00761DDD" w:rsidRDefault="00F94B14" w:rsidP="00761DDD">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b/>
                <w:color w:val="000000"/>
                <w:sz w:val="24"/>
                <w:szCs w:val="24"/>
              </w:rPr>
              <w:t>Artículo 105</w:t>
            </w:r>
            <w:r w:rsidRPr="002D2B12">
              <w:rPr>
                <w:rFonts w:ascii="Times New Roman" w:eastAsia="Times New Roman" w:hAnsi="Times New Roman" w:cs="Times New Roman"/>
                <w:color w:val="000000"/>
                <w:sz w:val="24"/>
                <w:szCs w:val="24"/>
              </w:rPr>
              <w:t>.- La Empresa girará la suma de treinta y nueve mil trescientos veintidós colones (¢39.322) al trab</w:t>
            </w:r>
            <w:r w:rsidR="002D2B12">
              <w:rPr>
                <w:rFonts w:ascii="Times New Roman" w:eastAsia="Times New Roman" w:hAnsi="Times New Roman" w:cs="Times New Roman"/>
                <w:color w:val="000000"/>
                <w:sz w:val="24"/>
                <w:szCs w:val="24"/>
              </w:rPr>
              <w:t>ajador que contraiga matrimonio</w:t>
            </w:r>
            <w:r w:rsidRPr="002D2B12">
              <w:rPr>
                <w:rFonts w:ascii="Times New Roman" w:eastAsia="Times New Roman" w:hAnsi="Times New Roman" w:cs="Times New Roman"/>
                <w:color w:val="000000"/>
                <w:sz w:val="24"/>
                <w:szCs w:val="24"/>
              </w:rPr>
              <w:t>.</w:t>
            </w:r>
          </w:p>
        </w:tc>
        <w:tc>
          <w:tcPr>
            <w:tcW w:w="3402" w:type="dxa"/>
          </w:tcPr>
          <w:p w:rsidR="00F94B14" w:rsidRPr="002D2B12" w:rsidRDefault="00F94B14" w:rsidP="00037189">
            <w:pPr>
              <w:jc w:val="both"/>
              <w:rPr>
                <w:rFonts w:ascii="Times New Roman" w:hAnsi="Times New Roman" w:cs="Times New Roman"/>
                <w:sz w:val="24"/>
                <w:szCs w:val="24"/>
              </w:rPr>
            </w:pPr>
            <w:r w:rsidRPr="002D2B12">
              <w:rPr>
                <w:rFonts w:ascii="Times New Roman" w:hAnsi="Times New Roman" w:cs="Times New Roman"/>
                <w:sz w:val="24"/>
                <w:szCs w:val="24"/>
              </w:rPr>
              <w:t>Totalidad del artículo 105 (ESTE ARTÍCULO HABÍA SIDO PREVIAMENTE DEROGADO)</w:t>
            </w:r>
          </w:p>
        </w:tc>
      </w:tr>
      <w:tr w:rsidR="00F94B14" w:rsidTr="00F94B14">
        <w:tc>
          <w:tcPr>
            <w:tcW w:w="6946" w:type="dxa"/>
          </w:tcPr>
          <w:p w:rsidR="00F94B14" w:rsidRPr="002D2B12" w:rsidRDefault="00F94B14"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b/>
                <w:color w:val="000000"/>
                <w:sz w:val="24"/>
                <w:szCs w:val="24"/>
              </w:rPr>
              <w:t>Artículo 106</w:t>
            </w:r>
            <w:r w:rsidRPr="002D2B12">
              <w:rPr>
                <w:rFonts w:ascii="Times New Roman" w:eastAsia="Times New Roman" w:hAnsi="Times New Roman" w:cs="Times New Roman"/>
                <w:color w:val="000000"/>
                <w:sz w:val="24"/>
                <w:szCs w:val="24"/>
              </w:rPr>
              <w:t>.- La Empresa girará la suma de veintiocho mil setenta y ocho colones (¢28.078) por el nacimiento de cada hijo del trabajador. Si concurriere la condición de dos trabajadores padres del hijo o hijos nacidos, sólo disfrutará de este derecho uno de ellos”.</w:t>
            </w:r>
          </w:p>
          <w:p w:rsidR="00F94B14" w:rsidRPr="002D2B12" w:rsidRDefault="00F94B14" w:rsidP="00037189">
            <w:pPr>
              <w:jc w:val="both"/>
              <w:rPr>
                <w:rFonts w:ascii="Times New Roman" w:hAnsi="Times New Roman" w:cs="Times New Roman"/>
                <w:sz w:val="24"/>
                <w:szCs w:val="24"/>
              </w:rPr>
            </w:pPr>
          </w:p>
        </w:tc>
        <w:tc>
          <w:tcPr>
            <w:tcW w:w="3402" w:type="dxa"/>
          </w:tcPr>
          <w:p w:rsidR="00F94B14" w:rsidRPr="002D2B12" w:rsidRDefault="00F94B14" w:rsidP="00037189">
            <w:pPr>
              <w:jc w:val="both"/>
              <w:rPr>
                <w:rFonts w:ascii="Times New Roman" w:hAnsi="Times New Roman" w:cs="Times New Roman"/>
                <w:sz w:val="24"/>
                <w:szCs w:val="24"/>
              </w:rPr>
            </w:pPr>
            <w:r w:rsidRPr="002D2B12">
              <w:rPr>
                <w:rFonts w:ascii="Times New Roman" w:hAnsi="Times New Roman" w:cs="Times New Roman"/>
                <w:sz w:val="24"/>
                <w:szCs w:val="24"/>
              </w:rPr>
              <w:t>Totalidad del artículo 106 (ESTE ARTÍCULO HABÍA SIDO PREVIAMENTE DEROGADO)</w:t>
            </w:r>
          </w:p>
        </w:tc>
      </w:tr>
      <w:tr w:rsidR="00F94B14" w:rsidTr="00761DDD">
        <w:trPr>
          <w:trHeight w:val="2318"/>
        </w:trPr>
        <w:tc>
          <w:tcPr>
            <w:tcW w:w="6946" w:type="dxa"/>
          </w:tcPr>
          <w:p w:rsidR="00F01622" w:rsidRPr="002D2B12" w:rsidRDefault="00F01622"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b/>
                <w:color w:val="000000"/>
                <w:sz w:val="24"/>
                <w:szCs w:val="24"/>
              </w:rPr>
              <w:t>Artículo 137</w:t>
            </w:r>
            <w:r w:rsidRPr="002D2B12">
              <w:rPr>
                <w:rFonts w:ascii="Times New Roman" w:eastAsia="Times New Roman" w:hAnsi="Times New Roman" w:cs="Times New Roman"/>
                <w:color w:val="000000"/>
                <w:sz w:val="24"/>
                <w:szCs w:val="24"/>
              </w:rPr>
              <w:t>.- El Fondo de Ahorro, Préstamos, Vivienda, Recreación, y Garantía, creado por la Empresa y el Sindicato en la Convención Colectiva de Trabajo de 1978, continuará rigiéndose por los siguientes principios:</w:t>
            </w:r>
          </w:p>
          <w:p w:rsidR="00F94B14" w:rsidRPr="00761DDD" w:rsidRDefault="00F01622" w:rsidP="00761DDD">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rPr>
              <w:t xml:space="preserve">g) </w:t>
            </w:r>
            <w:r w:rsidRPr="002D2B12">
              <w:rPr>
                <w:rFonts w:ascii="Times New Roman" w:eastAsia="Times New Roman" w:hAnsi="Times New Roman" w:cs="Times New Roman"/>
                <w:color w:val="000000"/>
                <w:sz w:val="24"/>
                <w:szCs w:val="24"/>
                <w:highlight w:val="yellow"/>
              </w:rPr>
              <w:t>Su personal de Administración, Contabilidad, Asesoría Legal y Auditoría Interna, será pagado por el propio Fondo, pero asumido en un setenta y cinco por ciento (75%) por la Empresa.</w:t>
            </w:r>
          </w:p>
        </w:tc>
        <w:tc>
          <w:tcPr>
            <w:tcW w:w="3402" w:type="dxa"/>
          </w:tcPr>
          <w:p w:rsidR="00F94B14" w:rsidRPr="002D2B12" w:rsidRDefault="00F94B14" w:rsidP="00037189">
            <w:pPr>
              <w:rPr>
                <w:rFonts w:ascii="Times New Roman" w:hAnsi="Times New Roman" w:cs="Times New Roman"/>
                <w:sz w:val="24"/>
                <w:szCs w:val="24"/>
              </w:rPr>
            </w:pPr>
            <w:r w:rsidRPr="002D2B12">
              <w:rPr>
                <w:rFonts w:ascii="Times New Roman" w:hAnsi="Times New Roman" w:cs="Times New Roman"/>
                <w:sz w:val="24"/>
                <w:szCs w:val="24"/>
              </w:rPr>
              <w:t xml:space="preserve">El artículo 137 inciso g) en cuanto dispone que </w:t>
            </w:r>
            <w:r w:rsidRPr="002D2B12">
              <w:rPr>
                <w:rFonts w:ascii="Times New Roman" w:hAnsi="Times New Roman" w:cs="Times New Roman"/>
                <w:sz w:val="24"/>
                <w:szCs w:val="24"/>
                <w:highlight w:val="yellow"/>
              </w:rPr>
              <w:t>"Su personal de Administración, Contabilidad, Asesoría Legal y Auditoría Interna, será pagado por el propio Fondo, pero asumido en un setenta y cinco por ciento (75%) por la Empresa"</w:t>
            </w:r>
            <w:r w:rsidR="002D2B12">
              <w:rPr>
                <w:rFonts w:ascii="Times New Roman" w:hAnsi="Times New Roman" w:cs="Times New Roman"/>
                <w:sz w:val="24"/>
                <w:szCs w:val="24"/>
              </w:rPr>
              <w:t>.</w:t>
            </w:r>
          </w:p>
          <w:p w:rsidR="00F94B14" w:rsidRPr="002D2B12" w:rsidRDefault="00F94B14" w:rsidP="00037189">
            <w:pPr>
              <w:jc w:val="both"/>
              <w:rPr>
                <w:rFonts w:ascii="Times New Roman" w:hAnsi="Times New Roman" w:cs="Times New Roman"/>
                <w:sz w:val="24"/>
                <w:szCs w:val="24"/>
              </w:rPr>
            </w:pPr>
          </w:p>
        </w:tc>
      </w:tr>
      <w:tr w:rsidR="00F94B14" w:rsidTr="00F94B14">
        <w:tc>
          <w:tcPr>
            <w:tcW w:w="6946" w:type="dxa"/>
          </w:tcPr>
          <w:p w:rsidR="00F94B14" w:rsidRPr="00761DDD" w:rsidRDefault="00F01622" w:rsidP="00761DDD">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b/>
                <w:color w:val="000000"/>
                <w:sz w:val="24"/>
                <w:szCs w:val="24"/>
              </w:rPr>
              <w:t xml:space="preserve">Artículo 141.- </w:t>
            </w:r>
            <w:r w:rsidRPr="002D2B12">
              <w:rPr>
                <w:rFonts w:ascii="Times New Roman" w:eastAsia="Times New Roman" w:hAnsi="Times New Roman" w:cs="Times New Roman"/>
                <w:color w:val="000000"/>
                <w:sz w:val="24"/>
                <w:szCs w:val="24"/>
              </w:rPr>
              <w:t xml:space="preserve">La Empresa otorgará conforme a la costumbre, servicio gratuito de transporte a sus trabajadores desde el centro de Limón hasta el lugar de trabajo y viceversa y de B-Line a la Refinería y viceversa para el traslado del personal de la cuadrilla de mantenimiento. </w:t>
            </w:r>
            <w:r w:rsidRPr="002D2B12">
              <w:rPr>
                <w:rFonts w:ascii="Times New Roman" w:eastAsia="Times New Roman" w:hAnsi="Times New Roman" w:cs="Times New Roman"/>
                <w:color w:val="000000"/>
                <w:sz w:val="24"/>
                <w:szCs w:val="24"/>
                <w:highlight w:val="yellow"/>
              </w:rPr>
              <w:t>Este servicio de igual forma podrá ser utilizado por dependientes directos de los trabajadores que vivan en el Barrio Los Cangrejos, Ciudadela 9 de Marzo (El Triunfo), cuando haya espacios disponibles.</w:t>
            </w:r>
          </w:p>
        </w:tc>
        <w:tc>
          <w:tcPr>
            <w:tcW w:w="3402" w:type="dxa"/>
          </w:tcPr>
          <w:p w:rsidR="00F94B14" w:rsidRPr="002D2B12" w:rsidRDefault="00F01622" w:rsidP="00037189">
            <w:pPr>
              <w:jc w:val="both"/>
              <w:rPr>
                <w:rFonts w:ascii="Times New Roman" w:hAnsi="Times New Roman" w:cs="Times New Roman"/>
                <w:sz w:val="24"/>
                <w:szCs w:val="24"/>
              </w:rPr>
            </w:pPr>
            <w:r w:rsidRPr="002D2B12">
              <w:rPr>
                <w:rFonts w:ascii="Times New Roman" w:hAnsi="Times New Roman" w:cs="Times New Roman"/>
                <w:sz w:val="24"/>
                <w:szCs w:val="24"/>
              </w:rPr>
              <w:t xml:space="preserve">El numeral 141 cuando dice </w:t>
            </w:r>
            <w:r w:rsidRPr="002D2B12">
              <w:rPr>
                <w:rFonts w:ascii="Times New Roman" w:hAnsi="Times New Roman" w:cs="Times New Roman"/>
                <w:sz w:val="24"/>
                <w:szCs w:val="24"/>
                <w:highlight w:val="yellow"/>
              </w:rPr>
              <w:t>"... Este servicio de igual forma podrá ser utilizado por dependientes directos de los trabajadores que vivan en el Barrio Los Cangrejos, Ciudadela 9 de Marzo (El Triunfo), cuando haya espacios disponibles</w:t>
            </w:r>
            <w:r w:rsidR="002D2B12">
              <w:rPr>
                <w:rFonts w:ascii="Times New Roman" w:hAnsi="Times New Roman" w:cs="Times New Roman"/>
                <w:sz w:val="24"/>
                <w:szCs w:val="24"/>
              </w:rPr>
              <w:t>.</w:t>
            </w:r>
          </w:p>
        </w:tc>
      </w:tr>
      <w:tr w:rsidR="00F94B14" w:rsidTr="00F94B14">
        <w:tc>
          <w:tcPr>
            <w:tcW w:w="6946" w:type="dxa"/>
          </w:tcPr>
          <w:p w:rsidR="00F01622" w:rsidRPr="002D2B12" w:rsidRDefault="00F01622" w:rsidP="00037189">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b/>
                <w:color w:val="000000"/>
                <w:sz w:val="24"/>
                <w:szCs w:val="24"/>
              </w:rPr>
              <w:t>Artículo 142.-</w:t>
            </w:r>
            <w:r w:rsidRPr="002D2B12">
              <w:rPr>
                <w:rFonts w:ascii="Times New Roman" w:eastAsia="Times New Roman" w:hAnsi="Times New Roman" w:cs="Times New Roman"/>
                <w:color w:val="000000"/>
                <w:sz w:val="24"/>
                <w:szCs w:val="24"/>
              </w:rPr>
              <w:t xml:space="preserve"> Cuando el trabajador cese por cualquier causa en su contrato de trabajo por tiempo indefinido, la Empresa deberá pagarle </w:t>
            </w:r>
            <w:r w:rsidRPr="002D2B12">
              <w:rPr>
                <w:rFonts w:ascii="Times New Roman" w:eastAsia="Times New Roman" w:hAnsi="Times New Roman" w:cs="Times New Roman"/>
                <w:color w:val="000000"/>
                <w:sz w:val="24"/>
                <w:szCs w:val="24"/>
              </w:rPr>
              <w:lastRenderedPageBreak/>
              <w:t>el auxilio de cesantía conforme a las siguientes reglas:</w:t>
            </w:r>
          </w:p>
          <w:p w:rsidR="00F01622" w:rsidRPr="002D2B12" w:rsidRDefault="00F01622" w:rsidP="00037189">
            <w:pPr>
              <w:autoSpaceDE w:val="0"/>
              <w:autoSpaceDN w:val="0"/>
              <w:adjustRightInd w:val="0"/>
              <w:ind w:left="708"/>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rPr>
              <w:t>(…)</w:t>
            </w:r>
          </w:p>
          <w:p w:rsidR="00F94B14" w:rsidRPr="00761DDD" w:rsidRDefault="00F01622" w:rsidP="00761DDD">
            <w:pPr>
              <w:autoSpaceDE w:val="0"/>
              <w:autoSpaceDN w:val="0"/>
              <w:adjustRightInd w:val="0"/>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color w:val="000000"/>
                <w:sz w:val="24"/>
                <w:szCs w:val="24"/>
                <w:highlight w:val="yellow"/>
              </w:rPr>
              <w:t>d) En ningún caso podrá exceder dicho auxilio de veinticuatro (24) meses….</w:t>
            </w:r>
          </w:p>
        </w:tc>
        <w:tc>
          <w:tcPr>
            <w:tcW w:w="3402" w:type="dxa"/>
          </w:tcPr>
          <w:p w:rsidR="00F94B14" w:rsidRPr="002D2B12" w:rsidRDefault="00F01622" w:rsidP="00037189">
            <w:pPr>
              <w:jc w:val="both"/>
              <w:rPr>
                <w:rFonts w:ascii="Times New Roman" w:hAnsi="Times New Roman" w:cs="Times New Roman"/>
                <w:sz w:val="24"/>
                <w:szCs w:val="24"/>
              </w:rPr>
            </w:pPr>
            <w:r w:rsidRPr="002D2B12">
              <w:rPr>
                <w:rFonts w:ascii="Times New Roman" w:hAnsi="Times New Roman" w:cs="Times New Roman"/>
                <w:sz w:val="24"/>
                <w:szCs w:val="24"/>
              </w:rPr>
              <w:lastRenderedPageBreak/>
              <w:t xml:space="preserve">Del artículo 142 el apartado d) </w:t>
            </w:r>
            <w:r w:rsidRPr="002D2B12">
              <w:rPr>
                <w:rFonts w:ascii="Times New Roman" w:hAnsi="Times New Roman" w:cs="Times New Roman"/>
                <w:sz w:val="24"/>
                <w:szCs w:val="24"/>
                <w:highlight w:val="yellow"/>
              </w:rPr>
              <w:t xml:space="preserve">"En ningún caso podrá exceder </w:t>
            </w:r>
            <w:r w:rsidRPr="002D2B12">
              <w:rPr>
                <w:rFonts w:ascii="Times New Roman" w:hAnsi="Times New Roman" w:cs="Times New Roman"/>
                <w:sz w:val="24"/>
                <w:szCs w:val="24"/>
                <w:highlight w:val="yellow"/>
              </w:rPr>
              <w:lastRenderedPageBreak/>
              <w:t>dicho auxilio de veinticuatro (24) meses..."; en cuanto fija montos superiores a un tope de doce años por auxilio de cesantía</w:t>
            </w:r>
            <w:r w:rsidR="002D2B12">
              <w:rPr>
                <w:rFonts w:ascii="Times New Roman" w:hAnsi="Times New Roman" w:cs="Times New Roman"/>
                <w:sz w:val="24"/>
                <w:szCs w:val="24"/>
              </w:rPr>
              <w:t>.</w:t>
            </w:r>
          </w:p>
        </w:tc>
      </w:tr>
      <w:tr w:rsidR="00F94B14" w:rsidTr="00F94B14">
        <w:tc>
          <w:tcPr>
            <w:tcW w:w="6946" w:type="dxa"/>
          </w:tcPr>
          <w:p w:rsidR="00F94B14" w:rsidRPr="00761DDD" w:rsidRDefault="00F01622" w:rsidP="00761DDD">
            <w:pPr>
              <w:autoSpaceDE w:val="0"/>
              <w:autoSpaceDN w:val="0"/>
              <w:adjustRightInd w:val="0"/>
              <w:ind w:right="851"/>
              <w:jc w:val="both"/>
              <w:rPr>
                <w:rFonts w:ascii="Times New Roman" w:eastAsia="Times New Roman" w:hAnsi="Times New Roman" w:cs="Times New Roman"/>
                <w:color w:val="000000"/>
                <w:sz w:val="24"/>
                <w:szCs w:val="24"/>
              </w:rPr>
            </w:pPr>
            <w:r w:rsidRPr="002D2B12">
              <w:rPr>
                <w:rFonts w:ascii="Times New Roman" w:eastAsia="Times New Roman" w:hAnsi="Times New Roman" w:cs="Times New Roman"/>
                <w:b/>
                <w:color w:val="000000"/>
                <w:sz w:val="24"/>
                <w:szCs w:val="24"/>
              </w:rPr>
              <w:lastRenderedPageBreak/>
              <w:t>Artículo 152.- </w:t>
            </w:r>
            <w:r w:rsidRPr="002D2B12">
              <w:rPr>
                <w:rFonts w:ascii="Times New Roman" w:eastAsia="Times New Roman" w:hAnsi="Times New Roman" w:cs="Times New Roman"/>
                <w:color w:val="000000"/>
                <w:sz w:val="24"/>
                <w:szCs w:val="24"/>
              </w:rPr>
              <w:t>La Empresa continuando con su política de mantener el precio razonable de los alimentos que se expanden en sus sodas, cobrará doscientos colones (¢200,00) a partir del 1° de enero de 2010, y para los siguientes años, ese monto se aumentará sucesivamente en un diez punto siete por ciento (10.7%) sobre el valor inmediato y empezará a regir a partir de</w:t>
            </w:r>
            <w:r w:rsidR="002D2B12">
              <w:rPr>
                <w:rFonts w:ascii="Times New Roman" w:eastAsia="Times New Roman" w:hAnsi="Times New Roman" w:cs="Times New Roman"/>
                <w:color w:val="000000"/>
                <w:sz w:val="24"/>
                <w:szCs w:val="24"/>
              </w:rPr>
              <w:t>l 1° de enero del año siguiente</w:t>
            </w:r>
            <w:r w:rsidRPr="002D2B12">
              <w:rPr>
                <w:rFonts w:ascii="Times New Roman" w:eastAsia="Times New Roman" w:hAnsi="Times New Roman" w:cs="Times New Roman"/>
                <w:color w:val="000000"/>
                <w:sz w:val="24"/>
                <w:szCs w:val="24"/>
              </w:rPr>
              <w:t>.</w:t>
            </w:r>
          </w:p>
        </w:tc>
        <w:tc>
          <w:tcPr>
            <w:tcW w:w="3402" w:type="dxa"/>
          </w:tcPr>
          <w:p w:rsidR="00F94B14" w:rsidRPr="002D2B12" w:rsidRDefault="00F01622" w:rsidP="00037189">
            <w:pPr>
              <w:jc w:val="both"/>
              <w:rPr>
                <w:rFonts w:ascii="Times New Roman" w:hAnsi="Times New Roman" w:cs="Times New Roman"/>
                <w:sz w:val="24"/>
                <w:szCs w:val="24"/>
              </w:rPr>
            </w:pPr>
            <w:r w:rsidRPr="002D2B12">
              <w:rPr>
                <w:rFonts w:ascii="Times New Roman" w:hAnsi="Times New Roman" w:cs="Times New Roman"/>
                <w:sz w:val="24"/>
                <w:szCs w:val="24"/>
              </w:rPr>
              <w:t>La totalidad del artículo 152</w:t>
            </w:r>
            <w:r w:rsidR="002D2B12">
              <w:rPr>
                <w:rFonts w:ascii="Times New Roman" w:hAnsi="Times New Roman" w:cs="Times New Roman"/>
                <w:sz w:val="24"/>
                <w:szCs w:val="24"/>
              </w:rPr>
              <w:t>.</w:t>
            </w:r>
          </w:p>
        </w:tc>
      </w:tr>
    </w:tbl>
    <w:p w:rsidR="00B656F8" w:rsidRPr="001010D3" w:rsidRDefault="00B656F8" w:rsidP="001010D3">
      <w:pPr>
        <w:spacing w:line="240" w:lineRule="auto"/>
        <w:jc w:val="both"/>
        <w:rPr>
          <w:rFonts w:ascii="Times New Roman" w:hAnsi="Times New Roman" w:cs="Times New Roman"/>
          <w:sz w:val="24"/>
          <w:szCs w:val="24"/>
        </w:rPr>
      </w:pPr>
    </w:p>
    <w:sectPr w:rsidR="00B656F8" w:rsidRPr="001010D3" w:rsidSect="00DF6FB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4FF" w:rsidRDefault="005F14FF" w:rsidP="002D2B12">
      <w:pPr>
        <w:spacing w:after="0" w:line="240" w:lineRule="auto"/>
      </w:pPr>
      <w:r>
        <w:separator/>
      </w:r>
    </w:p>
  </w:endnote>
  <w:endnote w:type="continuationSeparator" w:id="0">
    <w:p w:rsidR="005F14FF" w:rsidRDefault="005F14FF" w:rsidP="002D2B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4FF" w:rsidRDefault="005F14FF" w:rsidP="002D2B12">
      <w:pPr>
        <w:spacing w:after="0" w:line="240" w:lineRule="auto"/>
      </w:pPr>
      <w:r>
        <w:separator/>
      </w:r>
    </w:p>
  </w:footnote>
  <w:footnote w:type="continuationSeparator" w:id="0">
    <w:p w:rsidR="005F14FF" w:rsidRDefault="005F14FF" w:rsidP="002D2B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5609E"/>
    <w:multiLevelType w:val="hybridMultilevel"/>
    <w:tmpl w:val="199CDE26"/>
    <w:lvl w:ilvl="0" w:tplc="CDCE159A">
      <w:start w:val="18"/>
      <w:numFmt w:val="bullet"/>
      <w:lvlText w:val=""/>
      <w:lvlJc w:val="left"/>
      <w:pPr>
        <w:ind w:left="720" w:hanging="360"/>
      </w:pPr>
      <w:rPr>
        <w:rFonts w:ascii="Symbol" w:eastAsiaTheme="minorHAnsi" w:hAnsi="Symbol" w:cs="Times New Roman" w:hint="default"/>
        <w:b w:val="0"/>
        <w:i/>
        <w:sz w:val="2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3506719A"/>
    <w:multiLevelType w:val="hybridMultilevel"/>
    <w:tmpl w:val="A3FA415A"/>
    <w:lvl w:ilvl="0" w:tplc="175EDC28">
      <w:start w:val="2019"/>
      <w:numFmt w:val="bullet"/>
      <w:lvlText w:val=""/>
      <w:lvlJc w:val="left"/>
      <w:pPr>
        <w:ind w:left="720" w:hanging="360"/>
      </w:pPr>
      <w:rPr>
        <w:rFonts w:ascii="Symbol" w:eastAsiaTheme="minorHAnsi"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6EB26A82"/>
    <w:multiLevelType w:val="hybridMultilevel"/>
    <w:tmpl w:val="2B304A2A"/>
    <w:lvl w:ilvl="0" w:tplc="8A428476">
      <w:start w:val="4"/>
      <w:numFmt w:val="bullet"/>
      <w:lvlText w:val=""/>
      <w:lvlJc w:val="left"/>
      <w:pPr>
        <w:ind w:left="720" w:hanging="360"/>
      </w:pPr>
      <w:rPr>
        <w:rFonts w:ascii="Symbol" w:eastAsiaTheme="minorHAnsi"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rsids>
    <w:rsidRoot w:val="00C40464"/>
    <w:rsid w:val="00037189"/>
    <w:rsid w:val="001010D3"/>
    <w:rsid w:val="00217485"/>
    <w:rsid w:val="00253B3F"/>
    <w:rsid w:val="00270070"/>
    <w:rsid w:val="002D2B12"/>
    <w:rsid w:val="00340E26"/>
    <w:rsid w:val="00412317"/>
    <w:rsid w:val="004A7C86"/>
    <w:rsid w:val="00583DA2"/>
    <w:rsid w:val="005F14FF"/>
    <w:rsid w:val="00760685"/>
    <w:rsid w:val="00761DDD"/>
    <w:rsid w:val="00771D6B"/>
    <w:rsid w:val="00806080"/>
    <w:rsid w:val="008555E3"/>
    <w:rsid w:val="00937747"/>
    <w:rsid w:val="009E2703"/>
    <w:rsid w:val="00A80BC0"/>
    <w:rsid w:val="00A9380F"/>
    <w:rsid w:val="00B656F8"/>
    <w:rsid w:val="00C40464"/>
    <w:rsid w:val="00DF6FB4"/>
    <w:rsid w:val="00EC490B"/>
    <w:rsid w:val="00EE700C"/>
    <w:rsid w:val="00F01622"/>
    <w:rsid w:val="00F94B1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F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04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464"/>
    <w:rPr>
      <w:rFonts w:ascii="Tahoma" w:hAnsi="Tahoma" w:cs="Tahoma"/>
      <w:sz w:val="16"/>
      <w:szCs w:val="16"/>
    </w:rPr>
  </w:style>
  <w:style w:type="paragraph" w:styleId="Prrafodelista">
    <w:name w:val="List Paragraph"/>
    <w:basedOn w:val="Normal"/>
    <w:uiPriority w:val="34"/>
    <w:qFormat/>
    <w:rsid w:val="00C40464"/>
    <w:pPr>
      <w:ind w:left="720"/>
      <w:contextualSpacing/>
    </w:pPr>
  </w:style>
  <w:style w:type="paragraph" w:styleId="NormalWeb">
    <w:name w:val="Normal (Web)"/>
    <w:basedOn w:val="Normal"/>
    <w:uiPriority w:val="99"/>
    <w:unhideWhenUsed/>
    <w:rsid w:val="00C40464"/>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
    <w:name w:val="Table Grid"/>
    <w:basedOn w:val="Tablanormal"/>
    <w:uiPriority w:val="39"/>
    <w:rsid w:val="00253B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D2B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2B12"/>
  </w:style>
  <w:style w:type="paragraph" w:styleId="Piedepgina">
    <w:name w:val="footer"/>
    <w:basedOn w:val="Normal"/>
    <w:link w:val="PiedepginaCar"/>
    <w:uiPriority w:val="99"/>
    <w:unhideWhenUsed/>
    <w:rsid w:val="002D2B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B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1802</Words>
  <Characters>9916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amatab</dc:creator>
  <cp:lastModifiedBy>amatab</cp:lastModifiedBy>
  <cp:revision>4</cp:revision>
  <cp:lastPrinted>2019-05-23T19:57:00Z</cp:lastPrinted>
  <dcterms:created xsi:type="dcterms:W3CDTF">2019-05-23T19:54:00Z</dcterms:created>
  <dcterms:modified xsi:type="dcterms:W3CDTF">2019-05-23T21:15:00Z</dcterms:modified>
</cp:coreProperties>
</file>