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03" w:rsidRDefault="00A83E03" w:rsidP="00A83E03">
      <w:pPr>
        <w:spacing w:line="240" w:lineRule="auto"/>
        <w:rPr>
          <w:rFonts w:ascii="Arial" w:hAnsi="Arial" w:cs="Arial"/>
          <w:b/>
          <w:sz w:val="28"/>
          <w:szCs w:val="28"/>
        </w:rPr>
      </w:pPr>
      <w:r>
        <w:rPr>
          <w:rFonts w:ascii="Arial" w:hAnsi="Arial" w:cs="Arial"/>
          <w:b/>
          <w:noProof/>
          <w:sz w:val="28"/>
          <w:szCs w:val="28"/>
          <w:lang w:eastAsia="es-CR"/>
        </w:rPr>
        <w:drawing>
          <wp:inline distT="0" distB="0" distL="0" distR="0">
            <wp:extent cx="5013740" cy="1272845"/>
            <wp:effectExtent l="19050" t="0" r="0" b="0"/>
            <wp:docPr id="1"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7"/>
                    <a:srcRect/>
                    <a:stretch>
                      <a:fillRect/>
                    </a:stretch>
                  </pic:blipFill>
                  <pic:spPr bwMode="auto">
                    <a:xfrm>
                      <a:off x="0" y="0"/>
                      <a:ext cx="5013740" cy="1272845"/>
                    </a:xfrm>
                    <a:prstGeom prst="rect">
                      <a:avLst/>
                    </a:prstGeom>
                    <a:noFill/>
                    <a:ln w="9525">
                      <a:noFill/>
                      <a:miter lim="800000"/>
                      <a:headEnd/>
                      <a:tailEnd/>
                    </a:ln>
                  </pic:spPr>
                </pic:pic>
              </a:graphicData>
            </a:graphic>
          </wp:inline>
        </w:drawing>
      </w:r>
    </w:p>
    <w:p w:rsidR="00A83E03" w:rsidRDefault="00A83E03" w:rsidP="00A83E03">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SC-CP-2</w:t>
      </w:r>
      <w:r w:rsidR="00F82495">
        <w:rPr>
          <w:rFonts w:ascii="Calibri" w:hAnsi="Calibri"/>
          <w:color w:val="000000"/>
          <w:sz w:val="28"/>
          <w:szCs w:val="28"/>
          <w:lang w:val="es-ES"/>
        </w:rPr>
        <w:t>2</w:t>
      </w:r>
      <w:r>
        <w:rPr>
          <w:rFonts w:ascii="Calibri" w:hAnsi="Calibri"/>
          <w:color w:val="000000"/>
          <w:sz w:val="28"/>
          <w:szCs w:val="28"/>
          <w:lang w:val="es-ES"/>
        </w:rPr>
        <w:t>0519</w:t>
      </w:r>
    </w:p>
    <w:p w:rsidR="00A83E03" w:rsidRDefault="00A83E03" w:rsidP="00A83E03">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San José, 2</w:t>
      </w:r>
      <w:r w:rsidR="00E11751">
        <w:rPr>
          <w:rFonts w:ascii="Calibri" w:hAnsi="Calibri"/>
          <w:color w:val="000000"/>
          <w:sz w:val="28"/>
          <w:szCs w:val="28"/>
          <w:lang w:val="es-ES"/>
        </w:rPr>
        <w:t>2</w:t>
      </w:r>
      <w:r>
        <w:rPr>
          <w:rFonts w:ascii="Calibri" w:hAnsi="Calibri"/>
          <w:color w:val="000000"/>
          <w:sz w:val="28"/>
          <w:szCs w:val="28"/>
          <w:lang w:val="es-ES"/>
        </w:rPr>
        <w:t xml:space="preserve"> de mayo de 2019</w:t>
      </w:r>
    </w:p>
    <w:p w:rsidR="00A83E03" w:rsidRPr="005F5B69" w:rsidRDefault="00A83E03" w:rsidP="00A83E03">
      <w:pPr>
        <w:spacing w:line="240" w:lineRule="auto"/>
        <w:jc w:val="both"/>
        <w:rPr>
          <w:rFonts w:ascii="Arial" w:hAnsi="Arial" w:cs="Arial"/>
          <w:b/>
          <w:sz w:val="24"/>
          <w:szCs w:val="24"/>
        </w:rPr>
      </w:pPr>
    </w:p>
    <w:p w:rsidR="00A83E03" w:rsidRPr="005F5B69" w:rsidRDefault="00A83E03" w:rsidP="00A83E03">
      <w:pPr>
        <w:spacing w:line="240" w:lineRule="auto"/>
        <w:jc w:val="center"/>
        <w:rPr>
          <w:rFonts w:ascii="Arial" w:hAnsi="Arial" w:cs="Arial"/>
          <w:b/>
          <w:sz w:val="28"/>
          <w:szCs w:val="28"/>
        </w:rPr>
      </w:pPr>
      <w:r w:rsidRPr="005F5B69">
        <w:rPr>
          <w:rFonts w:ascii="Arial" w:hAnsi="Arial" w:cs="Arial"/>
          <w:b/>
          <w:sz w:val="28"/>
          <w:szCs w:val="28"/>
        </w:rPr>
        <w:t>COMUNICADO DE PRENSA</w:t>
      </w:r>
    </w:p>
    <w:p w:rsidR="00A83E03" w:rsidRPr="005F5B69" w:rsidRDefault="00A83E03" w:rsidP="00A83E03">
      <w:pPr>
        <w:spacing w:line="240" w:lineRule="auto"/>
        <w:jc w:val="center"/>
        <w:rPr>
          <w:rFonts w:ascii="Arial" w:hAnsi="Arial" w:cs="Arial"/>
          <w:b/>
          <w:sz w:val="28"/>
          <w:szCs w:val="28"/>
        </w:rPr>
      </w:pPr>
      <w:r w:rsidRPr="005F5B69">
        <w:rPr>
          <w:rFonts w:ascii="Arial" w:hAnsi="Arial" w:cs="Arial"/>
          <w:b/>
          <w:sz w:val="28"/>
          <w:szCs w:val="28"/>
        </w:rPr>
        <w:t>Sala Constitucional reitera que auxilio de cesantía no puede superar los 12 años</w:t>
      </w:r>
    </w:p>
    <w:p w:rsidR="00A83E03" w:rsidRPr="00153567" w:rsidRDefault="00A83E03" w:rsidP="00A83E03">
      <w:pPr>
        <w:pStyle w:val="Prrafodelista"/>
        <w:numPr>
          <w:ilvl w:val="0"/>
          <w:numId w:val="1"/>
        </w:numPr>
        <w:spacing w:line="240" w:lineRule="auto"/>
        <w:jc w:val="both"/>
        <w:rPr>
          <w:rFonts w:ascii="Arial" w:hAnsi="Arial" w:cs="Arial"/>
          <w:sz w:val="24"/>
          <w:szCs w:val="24"/>
        </w:rPr>
      </w:pPr>
      <w:r w:rsidRPr="00153567">
        <w:rPr>
          <w:rFonts w:ascii="Times New Roman" w:hAnsi="Times New Roman" w:cs="Times New Roman"/>
          <w:i/>
          <w:sz w:val="24"/>
          <w:szCs w:val="24"/>
        </w:rPr>
        <w:t>Tribunal declara inconstitucional</w:t>
      </w:r>
      <w:r w:rsidR="00153567" w:rsidRPr="00153567">
        <w:rPr>
          <w:rFonts w:ascii="Times New Roman" w:hAnsi="Times New Roman" w:cs="Times New Roman"/>
          <w:i/>
          <w:sz w:val="24"/>
          <w:szCs w:val="24"/>
        </w:rPr>
        <w:t>es</w:t>
      </w:r>
      <w:r w:rsidRPr="00153567">
        <w:rPr>
          <w:rFonts w:ascii="Times New Roman" w:hAnsi="Times New Roman" w:cs="Times New Roman"/>
          <w:i/>
          <w:sz w:val="24"/>
          <w:szCs w:val="24"/>
        </w:rPr>
        <w:t xml:space="preserve"> </w:t>
      </w:r>
      <w:r w:rsidR="009C09E4">
        <w:rPr>
          <w:rFonts w:ascii="Times New Roman" w:hAnsi="Times New Roman" w:cs="Times New Roman"/>
          <w:i/>
          <w:sz w:val="24"/>
          <w:szCs w:val="24"/>
        </w:rPr>
        <w:t xml:space="preserve">artículos </w:t>
      </w:r>
      <w:r w:rsidRPr="00153567">
        <w:rPr>
          <w:rFonts w:ascii="Times New Roman" w:hAnsi="Times New Roman" w:cs="Times New Roman"/>
          <w:i/>
          <w:sz w:val="24"/>
          <w:szCs w:val="24"/>
        </w:rPr>
        <w:t>de</w:t>
      </w:r>
      <w:r w:rsidR="00153567" w:rsidRPr="00153567">
        <w:rPr>
          <w:rFonts w:ascii="Times New Roman" w:hAnsi="Times New Roman" w:cs="Times New Roman"/>
          <w:i/>
          <w:sz w:val="24"/>
          <w:szCs w:val="24"/>
        </w:rPr>
        <w:t xml:space="preserve"> las</w:t>
      </w:r>
      <w:r w:rsidRPr="00153567">
        <w:rPr>
          <w:rFonts w:ascii="Times New Roman" w:hAnsi="Times New Roman" w:cs="Times New Roman"/>
          <w:i/>
          <w:sz w:val="24"/>
          <w:szCs w:val="24"/>
        </w:rPr>
        <w:t xml:space="preserve"> </w:t>
      </w:r>
      <w:r w:rsidR="00E11751">
        <w:rPr>
          <w:rFonts w:ascii="Times New Roman" w:hAnsi="Times New Roman" w:cs="Times New Roman"/>
          <w:i/>
          <w:sz w:val="24"/>
          <w:szCs w:val="24"/>
        </w:rPr>
        <w:t>C</w:t>
      </w:r>
      <w:r w:rsidRPr="00153567">
        <w:rPr>
          <w:rFonts w:ascii="Times New Roman" w:hAnsi="Times New Roman" w:cs="Times New Roman"/>
          <w:i/>
          <w:sz w:val="24"/>
          <w:szCs w:val="24"/>
        </w:rPr>
        <w:t>onvenci</w:t>
      </w:r>
      <w:r w:rsidR="00153567" w:rsidRPr="00153567">
        <w:rPr>
          <w:rFonts w:ascii="Times New Roman" w:hAnsi="Times New Roman" w:cs="Times New Roman"/>
          <w:i/>
          <w:sz w:val="24"/>
          <w:szCs w:val="24"/>
        </w:rPr>
        <w:t>ones</w:t>
      </w:r>
      <w:r w:rsidRPr="00153567">
        <w:rPr>
          <w:rFonts w:ascii="Times New Roman" w:hAnsi="Times New Roman" w:cs="Times New Roman"/>
          <w:i/>
          <w:sz w:val="24"/>
          <w:szCs w:val="24"/>
        </w:rPr>
        <w:t xml:space="preserve"> </w:t>
      </w:r>
      <w:r w:rsidR="00E11751">
        <w:rPr>
          <w:rFonts w:ascii="Times New Roman" w:hAnsi="Times New Roman" w:cs="Times New Roman"/>
          <w:i/>
          <w:sz w:val="24"/>
          <w:szCs w:val="24"/>
        </w:rPr>
        <w:t>C</w:t>
      </w:r>
      <w:r w:rsidRPr="00153567">
        <w:rPr>
          <w:rFonts w:ascii="Times New Roman" w:hAnsi="Times New Roman" w:cs="Times New Roman"/>
          <w:i/>
          <w:sz w:val="24"/>
          <w:szCs w:val="24"/>
        </w:rPr>
        <w:t>olectiva</w:t>
      </w:r>
      <w:r w:rsidR="00153567" w:rsidRPr="00153567">
        <w:rPr>
          <w:rFonts w:ascii="Times New Roman" w:hAnsi="Times New Roman" w:cs="Times New Roman"/>
          <w:i/>
          <w:sz w:val="24"/>
          <w:szCs w:val="24"/>
        </w:rPr>
        <w:t>s</w:t>
      </w:r>
      <w:r w:rsidRPr="00153567">
        <w:rPr>
          <w:rFonts w:ascii="Times New Roman" w:hAnsi="Times New Roman" w:cs="Times New Roman"/>
          <w:i/>
          <w:sz w:val="24"/>
          <w:szCs w:val="24"/>
        </w:rPr>
        <w:t xml:space="preserve"> de </w:t>
      </w:r>
      <w:r w:rsidR="00153567" w:rsidRPr="00153567">
        <w:rPr>
          <w:rFonts w:ascii="Times New Roman" w:hAnsi="Times New Roman" w:cs="Times New Roman"/>
          <w:i/>
          <w:sz w:val="24"/>
          <w:szCs w:val="24"/>
        </w:rPr>
        <w:t xml:space="preserve">las </w:t>
      </w:r>
      <w:r w:rsidR="00D32B75">
        <w:rPr>
          <w:rFonts w:ascii="Times New Roman" w:hAnsi="Times New Roman" w:cs="Times New Roman"/>
          <w:i/>
          <w:sz w:val="24"/>
          <w:szCs w:val="24"/>
        </w:rPr>
        <w:t>M</w:t>
      </w:r>
      <w:r w:rsidRPr="00153567">
        <w:rPr>
          <w:rFonts w:ascii="Times New Roman" w:hAnsi="Times New Roman" w:cs="Times New Roman"/>
          <w:i/>
          <w:sz w:val="24"/>
          <w:szCs w:val="24"/>
        </w:rPr>
        <w:t>unicipalidad</w:t>
      </w:r>
      <w:r w:rsidR="00153567" w:rsidRPr="00153567">
        <w:rPr>
          <w:rFonts w:ascii="Times New Roman" w:hAnsi="Times New Roman" w:cs="Times New Roman"/>
          <w:i/>
          <w:sz w:val="24"/>
          <w:szCs w:val="24"/>
        </w:rPr>
        <w:t>es</w:t>
      </w:r>
      <w:r w:rsidRPr="00153567">
        <w:rPr>
          <w:rFonts w:ascii="Times New Roman" w:hAnsi="Times New Roman" w:cs="Times New Roman"/>
          <w:i/>
          <w:sz w:val="24"/>
          <w:szCs w:val="24"/>
        </w:rPr>
        <w:t xml:space="preserve"> de Abangares </w:t>
      </w:r>
      <w:r w:rsidR="00153567">
        <w:rPr>
          <w:rFonts w:ascii="Times New Roman" w:hAnsi="Times New Roman" w:cs="Times New Roman"/>
          <w:i/>
          <w:sz w:val="24"/>
          <w:szCs w:val="24"/>
        </w:rPr>
        <w:t>y Carril</w:t>
      </w:r>
      <w:r w:rsidR="00153567" w:rsidRPr="00153567">
        <w:rPr>
          <w:rFonts w:ascii="Times New Roman" w:hAnsi="Times New Roman" w:cs="Times New Roman"/>
          <w:i/>
          <w:sz w:val="24"/>
          <w:szCs w:val="24"/>
        </w:rPr>
        <w:t xml:space="preserve">lo </w:t>
      </w:r>
      <w:r w:rsidRPr="00153567">
        <w:rPr>
          <w:rFonts w:ascii="Times New Roman" w:hAnsi="Times New Roman" w:cs="Times New Roman"/>
          <w:i/>
          <w:sz w:val="24"/>
          <w:szCs w:val="24"/>
        </w:rPr>
        <w:t>que reconoce</w:t>
      </w:r>
      <w:r w:rsidR="00153567" w:rsidRPr="00153567">
        <w:rPr>
          <w:rFonts w:ascii="Times New Roman" w:hAnsi="Times New Roman" w:cs="Times New Roman"/>
          <w:i/>
          <w:sz w:val="24"/>
          <w:szCs w:val="24"/>
        </w:rPr>
        <w:t>n</w:t>
      </w:r>
      <w:r w:rsidRPr="00153567">
        <w:rPr>
          <w:rFonts w:ascii="Times New Roman" w:hAnsi="Times New Roman" w:cs="Times New Roman"/>
          <w:i/>
          <w:sz w:val="24"/>
          <w:szCs w:val="24"/>
        </w:rPr>
        <w:t xml:space="preserve"> 20 </w:t>
      </w:r>
      <w:r w:rsidR="00153567" w:rsidRPr="00153567">
        <w:rPr>
          <w:rFonts w:ascii="Times New Roman" w:hAnsi="Times New Roman" w:cs="Times New Roman"/>
          <w:i/>
          <w:sz w:val="24"/>
          <w:szCs w:val="24"/>
        </w:rPr>
        <w:t xml:space="preserve">y 17 </w:t>
      </w:r>
      <w:r w:rsidRPr="00153567">
        <w:rPr>
          <w:rFonts w:ascii="Times New Roman" w:hAnsi="Times New Roman" w:cs="Times New Roman"/>
          <w:i/>
          <w:sz w:val="24"/>
          <w:szCs w:val="24"/>
        </w:rPr>
        <w:t>años de cesantía</w:t>
      </w:r>
    </w:p>
    <w:p w:rsidR="00153567" w:rsidRPr="00153567" w:rsidRDefault="00153567" w:rsidP="00DA144A">
      <w:pPr>
        <w:pStyle w:val="Prrafodelista"/>
        <w:spacing w:line="240" w:lineRule="auto"/>
        <w:jc w:val="both"/>
        <w:rPr>
          <w:rFonts w:ascii="Arial" w:hAnsi="Arial" w:cs="Arial"/>
          <w:sz w:val="24"/>
          <w:szCs w:val="24"/>
        </w:rPr>
      </w:pPr>
    </w:p>
    <w:p w:rsidR="00A83E03" w:rsidRPr="005F5B69" w:rsidRDefault="00A83E03" w:rsidP="00DA144A">
      <w:pPr>
        <w:spacing w:line="240" w:lineRule="auto"/>
        <w:jc w:val="both"/>
        <w:rPr>
          <w:rFonts w:ascii="Times New Roman" w:hAnsi="Times New Roman" w:cs="Times New Roman"/>
          <w:sz w:val="24"/>
          <w:szCs w:val="24"/>
        </w:rPr>
      </w:pPr>
      <w:r w:rsidRPr="005F5B69">
        <w:rPr>
          <w:rFonts w:ascii="Times New Roman" w:hAnsi="Times New Roman" w:cs="Times New Roman"/>
          <w:sz w:val="24"/>
          <w:szCs w:val="24"/>
        </w:rPr>
        <w:t xml:space="preserve">La </w:t>
      </w:r>
      <w:r>
        <w:rPr>
          <w:rFonts w:ascii="Times New Roman" w:hAnsi="Times New Roman" w:cs="Times New Roman"/>
          <w:sz w:val="24"/>
          <w:szCs w:val="24"/>
        </w:rPr>
        <w:t xml:space="preserve">Sala Constitucional, </w:t>
      </w:r>
      <w:r w:rsidRPr="005F5B69">
        <w:rPr>
          <w:rFonts w:ascii="Times New Roman" w:hAnsi="Times New Roman" w:cs="Times New Roman"/>
          <w:sz w:val="24"/>
          <w:szCs w:val="24"/>
        </w:rPr>
        <w:t>con fundamento en los principios de r</w:t>
      </w:r>
      <w:r>
        <w:rPr>
          <w:rFonts w:ascii="Times New Roman" w:hAnsi="Times New Roman" w:cs="Times New Roman"/>
          <w:sz w:val="24"/>
          <w:szCs w:val="24"/>
        </w:rPr>
        <w:t>azonabilidad y proporcionalidad,</w:t>
      </w:r>
      <w:r w:rsidRPr="005F5B69">
        <w:rPr>
          <w:rFonts w:ascii="Times New Roman" w:hAnsi="Times New Roman" w:cs="Times New Roman"/>
          <w:sz w:val="24"/>
          <w:szCs w:val="24"/>
        </w:rPr>
        <w:t xml:space="preserve"> reitera en la sentencia N° 2019-008679</w:t>
      </w:r>
      <w:r w:rsidR="009C09E4">
        <w:rPr>
          <w:rFonts w:ascii="Times New Roman" w:hAnsi="Times New Roman" w:cs="Times New Roman"/>
          <w:sz w:val="24"/>
          <w:szCs w:val="24"/>
        </w:rPr>
        <w:t>,</w:t>
      </w:r>
      <w:r>
        <w:rPr>
          <w:rFonts w:ascii="Times New Roman" w:hAnsi="Times New Roman" w:cs="Times New Roman"/>
          <w:sz w:val="24"/>
          <w:szCs w:val="24"/>
        </w:rPr>
        <w:t xml:space="preserve"> del 15 de mayo</w:t>
      </w:r>
      <w:r w:rsidR="009C09E4">
        <w:rPr>
          <w:rFonts w:ascii="Times New Roman" w:hAnsi="Times New Roman" w:cs="Times New Roman"/>
          <w:sz w:val="24"/>
          <w:szCs w:val="24"/>
        </w:rPr>
        <w:t>,</w:t>
      </w:r>
      <w:r w:rsidRPr="005F5B69">
        <w:rPr>
          <w:rFonts w:ascii="Times New Roman" w:hAnsi="Times New Roman" w:cs="Times New Roman"/>
          <w:sz w:val="24"/>
          <w:szCs w:val="24"/>
        </w:rPr>
        <w:t xml:space="preserve"> </w:t>
      </w:r>
      <w:r w:rsidR="00153567">
        <w:rPr>
          <w:rFonts w:ascii="Times New Roman" w:hAnsi="Times New Roman" w:cs="Times New Roman"/>
          <w:sz w:val="24"/>
          <w:szCs w:val="24"/>
        </w:rPr>
        <w:t xml:space="preserve">y en la </w:t>
      </w:r>
      <w:r w:rsidR="00153567" w:rsidRPr="005F5B69">
        <w:rPr>
          <w:rFonts w:ascii="Times New Roman" w:hAnsi="Times New Roman" w:cs="Times New Roman"/>
          <w:sz w:val="24"/>
          <w:szCs w:val="24"/>
        </w:rPr>
        <w:t>N° 2019-00</w:t>
      </w:r>
      <w:r w:rsidR="00F82495">
        <w:rPr>
          <w:rFonts w:ascii="Times New Roman" w:hAnsi="Times New Roman" w:cs="Times New Roman"/>
          <w:sz w:val="24"/>
          <w:szCs w:val="24"/>
        </w:rPr>
        <w:t>9222</w:t>
      </w:r>
      <w:r w:rsidR="009C09E4">
        <w:rPr>
          <w:rFonts w:ascii="Times New Roman" w:hAnsi="Times New Roman" w:cs="Times New Roman"/>
          <w:sz w:val="24"/>
          <w:szCs w:val="24"/>
        </w:rPr>
        <w:t>,</w:t>
      </w:r>
      <w:r w:rsidR="00153567">
        <w:rPr>
          <w:rFonts w:ascii="Times New Roman" w:hAnsi="Times New Roman" w:cs="Times New Roman"/>
          <w:sz w:val="24"/>
          <w:szCs w:val="24"/>
        </w:rPr>
        <w:t xml:space="preserve"> del 22 de mayo</w:t>
      </w:r>
      <w:r w:rsidR="009C09E4">
        <w:rPr>
          <w:rFonts w:ascii="Times New Roman" w:hAnsi="Times New Roman" w:cs="Times New Roman"/>
          <w:sz w:val="24"/>
          <w:szCs w:val="24"/>
        </w:rPr>
        <w:t>,</w:t>
      </w:r>
      <w:r w:rsidR="00153567">
        <w:rPr>
          <w:rFonts w:ascii="Times New Roman" w:hAnsi="Times New Roman" w:cs="Times New Roman"/>
          <w:sz w:val="24"/>
          <w:szCs w:val="24"/>
        </w:rPr>
        <w:t xml:space="preserve"> </w:t>
      </w:r>
      <w:r w:rsidRPr="005F5B69">
        <w:rPr>
          <w:rFonts w:ascii="Times New Roman" w:hAnsi="Times New Roman" w:cs="Times New Roman"/>
          <w:sz w:val="24"/>
          <w:szCs w:val="24"/>
        </w:rPr>
        <w:t xml:space="preserve">que el tope del auxilio de </w:t>
      </w:r>
      <w:r w:rsidR="00153567" w:rsidRPr="005F5B69">
        <w:rPr>
          <w:rFonts w:ascii="Times New Roman" w:hAnsi="Times New Roman" w:cs="Times New Roman"/>
          <w:sz w:val="24"/>
          <w:szCs w:val="24"/>
        </w:rPr>
        <w:t>cesantía</w:t>
      </w:r>
      <w:r w:rsidRPr="005F5B69">
        <w:rPr>
          <w:rFonts w:ascii="Times New Roman" w:hAnsi="Times New Roman" w:cs="Times New Roman"/>
          <w:sz w:val="24"/>
          <w:szCs w:val="24"/>
        </w:rPr>
        <w:t xml:space="preserve"> es de 12 años.</w:t>
      </w:r>
    </w:p>
    <w:p w:rsidR="00A83E03" w:rsidRPr="005F5B69" w:rsidRDefault="009C09E4" w:rsidP="00DA144A">
      <w:pPr>
        <w:spacing w:line="240" w:lineRule="auto"/>
        <w:jc w:val="both"/>
        <w:rPr>
          <w:rFonts w:ascii="Times New Roman" w:hAnsi="Times New Roman" w:cs="Times New Roman"/>
          <w:sz w:val="24"/>
          <w:szCs w:val="24"/>
        </w:rPr>
      </w:pPr>
      <w:r>
        <w:rPr>
          <w:rFonts w:ascii="Times New Roman" w:hAnsi="Times New Roman" w:cs="Times New Roman"/>
          <w:sz w:val="24"/>
          <w:szCs w:val="24"/>
        </w:rPr>
        <w:t>Con</w:t>
      </w:r>
      <w:r w:rsidR="00A83E03" w:rsidRPr="005F5B69">
        <w:rPr>
          <w:rFonts w:ascii="Times New Roman" w:hAnsi="Times New Roman" w:cs="Times New Roman"/>
          <w:sz w:val="24"/>
          <w:szCs w:val="24"/>
        </w:rPr>
        <w:t xml:space="preserve"> voto</w:t>
      </w:r>
      <w:r>
        <w:rPr>
          <w:rFonts w:ascii="Times New Roman" w:hAnsi="Times New Roman" w:cs="Times New Roman"/>
          <w:sz w:val="24"/>
          <w:szCs w:val="24"/>
        </w:rPr>
        <w:t>s</w:t>
      </w:r>
      <w:r w:rsidR="00A83E03" w:rsidRPr="005F5B69">
        <w:rPr>
          <w:rFonts w:ascii="Times New Roman" w:hAnsi="Times New Roman" w:cs="Times New Roman"/>
          <w:sz w:val="24"/>
          <w:szCs w:val="24"/>
        </w:rPr>
        <w:t xml:space="preserve"> de mayoría, los magistrados y magistradas declararon pa</w:t>
      </w:r>
      <w:r w:rsidR="00153567">
        <w:rPr>
          <w:rFonts w:ascii="Times New Roman" w:hAnsi="Times New Roman" w:cs="Times New Roman"/>
          <w:sz w:val="24"/>
          <w:szCs w:val="24"/>
        </w:rPr>
        <w:t>r</w:t>
      </w:r>
      <w:r w:rsidR="00A83E03" w:rsidRPr="005F5B69">
        <w:rPr>
          <w:rFonts w:ascii="Times New Roman" w:hAnsi="Times New Roman" w:cs="Times New Roman"/>
          <w:sz w:val="24"/>
          <w:szCs w:val="24"/>
        </w:rPr>
        <w:t xml:space="preserve">cialmente con lugar </w:t>
      </w:r>
      <w:r w:rsidR="00153567">
        <w:rPr>
          <w:rFonts w:ascii="Times New Roman" w:hAnsi="Times New Roman" w:cs="Times New Roman"/>
          <w:sz w:val="24"/>
          <w:szCs w:val="24"/>
        </w:rPr>
        <w:t>dos</w:t>
      </w:r>
      <w:r w:rsidR="00A83E03" w:rsidRPr="005F5B69">
        <w:rPr>
          <w:rFonts w:ascii="Times New Roman" w:hAnsi="Times New Roman" w:cs="Times New Roman"/>
          <w:sz w:val="24"/>
          <w:szCs w:val="24"/>
        </w:rPr>
        <w:t xml:space="preserve"> acci</w:t>
      </w:r>
      <w:r w:rsidR="00153567">
        <w:rPr>
          <w:rFonts w:ascii="Times New Roman" w:hAnsi="Times New Roman" w:cs="Times New Roman"/>
          <w:sz w:val="24"/>
          <w:szCs w:val="24"/>
        </w:rPr>
        <w:t>ones</w:t>
      </w:r>
      <w:r w:rsidR="00A83E03" w:rsidRPr="005F5B69">
        <w:rPr>
          <w:rFonts w:ascii="Times New Roman" w:hAnsi="Times New Roman" w:cs="Times New Roman"/>
          <w:sz w:val="24"/>
          <w:szCs w:val="24"/>
        </w:rPr>
        <w:t xml:space="preserve"> de inconstitucionalidad promovid</w:t>
      </w:r>
      <w:r w:rsidR="00153567">
        <w:rPr>
          <w:rFonts w:ascii="Times New Roman" w:hAnsi="Times New Roman" w:cs="Times New Roman"/>
          <w:sz w:val="24"/>
          <w:szCs w:val="24"/>
        </w:rPr>
        <w:t>as</w:t>
      </w:r>
      <w:r w:rsidR="00A83E03" w:rsidRPr="005F5B69">
        <w:rPr>
          <w:rFonts w:ascii="Times New Roman" w:hAnsi="Times New Roman" w:cs="Times New Roman"/>
          <w:sz w:val="24"/>
          <w:szCs w:val="24"/>
        </w:rPr>
        <w:t xml:space="preserve"> por el exdiputado Otto Guevara</w:t>
      </w:r>
      <w:r w:rsidR="00D32B75">
        <w:rPr>
          <w:rFonts w:ascii="Times New Roman" w:hAnsi="Times New Roman" w:cs="Times New Roman"/>
          <w:sz w:val="24"/>
          <w:szCs w:val="24"/>
        </w:rPr>
        <w:t xml:space="preserve"> Guth</w:t>
      </w:r>
      <w:r w:rsidR="00A83E03" w:rsidRPr="005F5B69">
        <w:rPr>
          <w:rFonts w:ascii="Times New Roman" w:hAnsi="Times New Roman" w:cs="Times New Roman"/>
          <w:sz w:val="24"/>
          <w:szCs w:val="24"/>
        </w:rPr>
        <w:t xml:space="preserve"> contra </w:t>
      </w:r>
      <w:r w:rsidR="00153567">
        <w:rPr>
          <w:rFonts w:ascii="Times New Roman" w:hAnsi="Times New Roman" w:cs="Times New Roman"/>
          <w:sz w:val="24"/>
          <w:szCs w:val="24"/>
        </w:rPr>
        <w:t xml:space="preserve">los </w:t>
      </w:r>
      <w:r>
        <w:rPr>
          <w:rFonts w:ascii="Times New Roman" w:hAnsi="Times New Roman" w:cs="Times New Roman"/>
          <w:sz w:val="24"/>
          <w:szCs w:val="24"/>
        </w:rPr>
        <w:t>artículos</w:t>
      </w:r>
      <w:r w:rsidR="00153567">
        <w:rPr>
          <w:rFonts w:ascii="Times New Roman" w:hAnsi="Times New Roman" w:cs="Times New Roman"/>
          <w:sz w:val="24"/>
          <w:szCs w:val="24"/>
        </w:rPr>
        <w:t xml:space="preserve"> de</w:t>
      </w:r>
      <w:r w:rsidR="00A83E03" w:rsidRPr="005F5B69">
        <w:rPr>
          <w:rFonts w:ascii="Times New Roman" w:hAnsi="Times New Roman" w:cs="Times New Roman"/>
          <w:sz w:val="24"/>
          <w:szCs w:val="24"/>
        </w:rPr>
        <w:t xml:space="preserve"> la</w:t>
      </w:r>
      <w:r w:rsidR="00287AB9">
        <w:rPr>
          <w:rFonts w:ascii="Times New Roman" w:hAnsi="Times New Roman" w:cs="Times New Roman"/>
          <w:sz w:val="24"/>
          <w:szCs w:val="24"/>
        </w:rPr>
        <w:t>s</w:t>
      </w:r>
      <w:r w:rsidR="00A83E03" w:rsidRPr="005F5B69">
        <w:rPr>
          <w:rFonts w:ascii="Times New Roman" w:hAnsi="Times New Roman" w:cs="Times New Roman"/>
          <w:sz w:val="24"/>
          <w:szCs w:val="24"/>
        </w:rPr>
        <w:t xml:space="preserve"> </w:t>
      </w:r>
      <w:r w:rsidR="00E11751">
        <w:rPr>
          <w:rFonts w:ascii="Times New Roman" w:hAnsi="Times New Roman" w:cs="Times New Roman"/>
          <w:sz w:val="24"/>
          <w:szCs w:val="24"/>
        </w:rPr>
        <w:t>C</w:t>
      </w:r>
      <w:r w:rsidR="00A83E03" w:rsidRPr="005F5B69">
        <w:rPr>
          <w:rFonts w:ascii="Times New Roman" w:hAnsi="Times New Roman" w:cs="Times New Roman"/>
          <w:sz w:val="24"/>
          <w:szCs w:val="24"/>
        </w:rPr>
        <w:t>onvenci</w:t>
      </w:r>
      <w:r w:rsidR="00287AB9">
        <w:rPr>
          <w:rFonts w:ascii="Times New Roman" w:hAnsi="Times New Roman" w:cs="Times New Roman"/>
          <w:sz w:val="24"/>
          <w:szCs w:val="24"/>
        </w:rPr>
        <w:t>ones</w:t>
      </w:r>
      <w:r w:rsidR="00A83E03" w:rsidRPr="005F5B69">
        <w:rPr>
          <w:rFonts w:ascii="Times New Roman" w:hAnsi="Times New Roman" w:cs="Times New Roman"/>
          <w:sz w:val="24"/>
          <w:szCs w:val="24"/>
        </w:rPr>
        <w:t xml:space="preserve"> </w:t>
      </w:r>
      <w:r w:rsidR="00E11751">
        <w:rPr>
          <w:rFonts w:ascii="Times New Roman" w:hAnsi="Times New Roman" w:cs="Times New Roman"/>
          <w:sz w:val="24"/>
          <w:szCs w:val="24"/>
        </w:rPr>
        <w:t>C</w:t>
      </w:r>
      <w:r w:rsidR="00A83E03" w:rsidRPr="005F5B69">
        <w:rPr>
          <w:rFonts w:ascii="Times New Roman" w:hAnsi="Times New Roman" w:cs="Times New Roman"/>
          <w:sz w:val="24"/>
          <w:szCs w:val="24"/>
        </w:rPr>
        <w:t>olectiva</w:t>
      </w:r>
      <w:r w:rsidR="00287AB9">
        <w:rPr>
          <w:rFonts w:ascii="Times New Roman" w:hAnsi="Times New Roman" w:cs="Times New Roman"/>
          <w:sz w:val="24"/>
          <w:szCs w:val="24"/>
        </w:rPr>
        <w:t>s</w:t>
      </w:r>
      <w:r w:rsidR="00D32B75">
        <w:rPr>
          <w:rFonts w:ascii="Times New Roman" w:hAnsi="Times New Roman" w:cs="Times New Roman"/>
          <w:sz w:val="24"/>
          <w:szCs w:val="24"/>
        </w:rPr>
        <w:t xml:space="preserve"> de Trabajo</w:t>
      </w:r>
      <w:r w:rsidR="00A83E03" w:rsidRPr="005F5B69">
        <w:rPr>
          <w:rFonts w:ascii="Times New Roman" w:hAnsi="Times New Roman" w:cs="Times New Roman"/>
          <w:sz w:val="24"/>
          <w:szCs w:val="24"/>
        </w:rPr>
        <w:t xml:space="preserve"> de la Municipalidad de Abangares</w:t>
      </w:r>
      <w:r w:rsidR="00153567">
        <w:rPr>
          <w:rFonts w:ascii="Times New Roman" w:hAnsi="Times New Roman" w:cs="Times New Roman"/>
          <w:sz w:val="24"/>
          <w:szCs w:val="24"/>
        </w:rPr>
        <w:t xml:space="preserve"> y de la Municipalidad de Carrillo</w:t>
      </w:r>
      <w:r w:rsidR="00F82495">
        <w:rPr>
          <w:rFonts w:ascii="Times New Roman" w:hAnsi="Times New Roman" w:cs="Times New Roman"/>
          <w:sz w:val="24"/>
          <w:szCs w:val="24"/>
        </w:rPr>
        <w:t>,</w:t>
      </w:r>
      <w:r w:rsidR="00153567">
        <w:rPr>
          <w:rFonts w:ascii="Times New Roman" w:hAnsi="Times New Roman" w:cs="Times New Roman"/>
          <w:sz w:val="24"/>
          <w:szCs w:val="24"/>
        </w:rPr>
        <w:t xml:space="preserve"> que establecían el pago de 20 y 17 años, respectivamente, por concepto de cesantía</w:t>
      </w:r>
      <w:r w:rsidR="00A83E03" w:rsidRPr="005F5B69">
        <w:rPr>
          <w:rFonts w:ascii="Times New Roman" w:hAnsi="Times New Roman" w:cs="Times New Roman"/>
          <w:sz w:val="24"/>
          <w:szCs w:val="24"/>
        </w:rPr>
        <w:t>.</w:t>
      </w:r>
    </w:p>
    <w:p w:rsidR="00A83E03" w:rsidRPr="005F5B69" w:rsidRDefault="00A83E03" w:rsidP="00DA144A">
      <w:pPr>
        <w:spacing w:line="240" w:lineRule="auto"/>
        <w:jc w:val="both"/>
        <w:rPr>
          <w:rFonts w:ascii="Times New Roman" w:hAnsi="Times New Roman" w:cs="Times New Roman"/>
          <w:sz w:val="24"/>
          <w:szCs w:val="24"/>
        </w:rPr>
      </w:pPr>
      <w:r w:rsidRPr="005F5B69">
        <w:rPr>
          <w:rFonts w:ascii="Times New Roman" w:hAnsi="Times New Roman" w:cs="Times New Roman"/>
          <w:sz w:val="24"/>
          <w:szCs w:val="24"/>
        </w:rPr>
        <w:t xml:space="preserve">El tribunal declaró inconstitucional </w:t>
      </w:r>
      <w:r w:rsidR="00C57FC0">
        <w:rPr>
          <w:rFonts w:ascii="Times New Roman" w:hAnsi="Times New Roman" w:cs="Times New Roman"/>
          <w:sz w:val="24"/>
          <w:szCs w:val="24"/>
        </w:rPr>
        <w:t xml:space="preserve">el plazo establecido en esos </w:t>
      </w:r>
      <w:r w:rsidR="00287AB9">
        <w:rPr>
          <w:rFonts w:ascii="Times New Roman" w:hAnsi="Times New Roman" w:cs="Times New Roman"/>
          <w:sz w:val="24"/>
          <w:szCs w:val="24"/>
        </w:rPr>
        <w:t>artículos</w:t>
      </w:r>
      <w:r w:rsidRPr="005F5B69">
        <w:rPr>
          <w:rFonts w:ascii="Times New Roman" w:hAnsi="Times New Roman" w:cs="Times New Roman"/>
          <w:sz w:val="24"/>
          <w:szCs w:val="24"/>
        </w:rPr>
        <w:t xml:space="preserve">, reiterando lo resuelto en el fallo N° 2018-008882 </w:t>
      </w:r>
      <w:r w:rsidR="00E11751">
        <w:rPr>
          <w:rFonts w:ascii="Times New Roman" w:hAnsi="Times New Roman" w:cs="Times New Roman"/>
          <w:sz w:val="24"/>
          <w:szCs w:val="24"/>
        </w:rPr>
        <w:t>que anuló una serie de artículos de</w:t>
      </w:r>
      <w:r w:rsidRPr="005F5B69">
        <w:rPr>
          <w:rFonts w:ascii="Times New Roman" w:hAnsi="Times New Roman" w:cs="Times New Roman"/>
          <w:sz w:val="24"/>
          <w:szCs w:val="24"/>
        </w:rPr>
        <w:t xml:space="preserve"> la </w:t>
      </w:r>
      <w:r w:rsidR="00E11751">
        <w:rPr>
          <w:rFonts w:ascii="Times New Roman" w:hAnsi="Times New Roman" w:cs="Times New Roman"/>
          <w:sz w:val="24"/>
          <w:szCs w:val="24"/>
        </w:rPr>
        <w:t>C</w:t>
      </w:r>
      <w:r w:rsidRPr="005F5B69">
        <w:rPr>
          <w:rFonts w:ascii="Times New Roman" w:hAnsi="Times New Roman" w:cs="Times New Roman"/>
          <w:sz w:val="24"/>
          <w:szCs w:val="24"/>
        </w:rPr>
        <w:t xml:space="preserve">onvención </w:t>
      </w:r>
      <w:r w:rsidR="00E11751">
        <w:rPr>
          <w:rFonts w:ascii="Times New Roman" w:hAnsi="Times New Roman" w:cs="Times New Roman"/>
          <w:sz w:val="24"/>
          <w:szCs w:val="24"/>
        </w:rPr>
        <w:t>C</w:t>
      </w:r>
      <w:r w:rsidRPr="005F5B69">
        <w:rPr>
          <w:rFonts w:ascii="Times New Roman" w:hAnsi="Times New Roman" w:cs="Times New Roman"/>
          <w:sz w:val="24"/>
          <w:szCs w:val="24"/>
        </w:rPr>
        <w:t>olectiva de</w:t>
      </w:r>
      <w:r>
        <w:rPr>
          <w:rFonts w:ascii="Times New Roman" w:hAnsi="Times New Roman" w:cs="Times New Roman"/>
          <w:sz w:val="24"/>
          <w:szCs w:val="24"/>
        </w:rPr>
        <w:t>l</w:t>
      </w:r>
      <w:r w:rsidRPr="005F5B69">
        <w:rPr>
          <w:rFonts w:ascii="Times New Roman" w:hAnsi="Times New Roman" w:cs="Times New Roman"/>
          <w:sz w:val="24"/>
          <w:szCs w:val="24"/>
        </w:rPr>
        <w:t xml:space="preserve"> Banco Crédito Agrícola de Cartago, </w:t>
      </w:r>
      <w:r w:rsidR="00E11751">
        <w:rPr>
          <w:rFonts w:ascii="Times New Roman" w:hAnsi="Times New Roman" w:cs="Times New Roman"/>
          <w:sz w:val="24"/>
          <w:szCs w:val="24"/>
        </w:rPr>
        <w:t>entre ellos el reconocimiento de</w:t>
      </w:r>
      <w:r w:rsidRPr="005F5B69">
        <w:rPr>
          <w:rFonts w:ascii="Times New Roman" w:hAnsi="Times New Roman" w:cs="Times New Roman"/>
          <w:sz w:val="24"/>
          <w:szCs w:val="24"/>
        </w:rPr>
        <w:t xml:space="preserve"> </w:t>
      </w:r>
      <w:r w:rsidR="00C57FC0" w:rsidRPr="005F5B69">
        <w:rPr>
          <w:rFonts w:ascii="Times New Roman" w:hAnsi="Times New Roman" w:cs="Times New Roman"/>
          <w:sz w:val="24"/>
          <w:szCs w:val="24"/>
        </w:rPr>
        <w:t xml:space="preserve">20 años </w:t>
      </w:r>
      <w:r w:rsidR="00E11751">
        <w:rPr>
          <w:rFonts w:ascii="Times New Roman" w:hAnsi="Times New Roman" w:cs="Times New Roman"/>
          <w:sz w:val="24"/>
          <w:szCs w:val="24"/>
        </w:rPr>
        <w:t xml:space="preserve">como </w:t>
      </w:r>
      <w:r w:rsidRPr="005F5B69">
        <w:rPr>
          <w:rFonts w:ascii="Times New Roman" w:hAnsi="Times New Roman" w:cs="Times New Roman"/>
          <w:sz w:val="24"/>
          <w:szCs w:val="24"/>
        </w:rPr>
        <w:t>tope de auxilio de cesantía.</w:t>
      </w:r>
    </w:p>
    <w:p w:rsidR="00A83E03" w:rsidRPr="005F5B69" w:rsidRDefault="00A83E03" w:rsidP="00DA144A">
      <w:pPr>
        <w:spacing w:line="240" w:lineRule="auto"/>
        <w:jc w:val="both"/>
        <w:rPr>
          <w:rFonts w:ascii="Times New Roman" w:hAnsi="Times New Roman" w:cs="Times New Roman"/>
          <w:sz w:val="24"/>
          <w:szCs w:val="24"/>
        </w:rPr>
      </w:pPr>
      <w:r w:rsidRPr="005F5B69">
        <w:rPr>
          <w:rFonts w:ascii="Times New Roman" w:hAnsi="Times New Roman" w:cs="Times New Roman"/>
          <w:sz w:val="24"/>
          <w:szCs w:val="24"/>
        </w:rPr>
        <w:t>“Dicha cantidad de años (20) resulta desproporcionado respecto de los pagos que reciben los demás trabajadores estatales cuyos beneficios también se financian con fondos públicos. En concordancia con lo anterior la Sala entiende que un tope máximo de 12 años</w:t>
      </w:r>
      <w:r w:rsidR="00E11751">
        <w:rPr>
          <w:rFonts w:ascii="Times New Roman" w:hAnsi="Times New Roman" w:cs="Times New Roman"/>
          <w:sz w:val="24"/>
          <w:szCs w:val="24"/>
        </w:rPr>
        <w:t>;</w:t>
      </w:r>
      <w:r w:rsidRPr="005F5B69">
        <w:rPr>
          <w:rFonts w:ascii="Times New Roman" w:hAnsi="Times New Roman" w:cs="Times New Roman"/>
          <w:sz w:val="24"/>
          <w:szCs w:val="24"/>
        </w:rPr>
        <w:t xml:space="preserve"> es decir</w:t>
      </w:r>
      <w:r w:rsidR="00E11751">
        <w:rPr>
          <w:rFonts w:ascii="Times New Roman" w:hAnsi="Times New Roman" w:cs="Times New Roman"/>
          <w:sz w:val="24"/>
          <w:szCs w:val="24"/>
        </w:rPr>
        <w:t>,</w:t>
      </w:r>
      <w:r w:rsidRPr="005F5B69">
        <w:rPr>
          <w:rFonts w:ascii="Times New Roman" w:hAnsi="Times New Roman" w:cs="Times New Roman"/>
          <w:sz w:val="24"/>
          <w:szCs w:val="24"/>
        </w:rPr>
        <w:t xml:space="preserve"> el 50 por ciento de mejora en el pago de auxilio de cesantía, cumple con los requisitos de proporcionalidad vistas las condiciones actuales del país, y no vacía el derecho de negociación colectiva en ese punto”, señalaron los altos jueces en aquella sentencia</w:t>
      </w:r>
      <w:r w:rsidR="00C57FC0">
        <w:rPr>
          <w:rFonts w:ascii="Times New Roman" w:hAnsi="Times New Roman" w:cs="Times New Roman"/>
          <w:sz w:val="24"/>
          <w:szCs w:val="24"/>
        </w:rPr>
        <w:t xml:space="preserve">, la cual se votó el 5 de junio del </w:t>
      </w:r>
      <w:r w:rsidR="009C09E4">
        <w:rPr>
          <w:rFonts w:ascii="Times New Roman" w:hAnsi="Times New Roman" w:cs="Times New Roman"/>
          <w:sz w:val="24"/>
          <w:szCs w:val="24"/>
        </w:rPr>
        <w:t>2018.</w:t>
      </w:r>
    </w:p>
    <w:p w:rsidR="00A83E03" w:rsidRPr="005F5B69" w:rsidRDefault="00A83E03" w:rsidP="00DA144A">
      <w:pPr>
        <w:spacing w:line="240" w:lineRule="auto"/>
        <w:jc w:val="both"/>
        <w:rPr>
          <w:rFonts w:ascii="Times New Roman" w:hAnsi="Times New Roman" w:cs="Times New Roman"/>
          <w:b/>
          <w:sz w:val="24"/>
          <w:szCs w:val="24"/>
        </w:rPr>
      </w:pPr>
      <w:r w:rsidRPr="005F5B69">
        <w:rPr>
          <w:rFonts w:ascii="Times New Roman" w:hAnsi="Times New Roman" w:cs="Times New Roman"/>
          <w:b/>
          <w:sz w:val="24"/>
          <w:szCs w:val="24"/>
        </w:rPr>
        <w:t>Posibilidad de mejora</w:t>
      </w:r>
    </w:p>
    <w:p w:rsidR="00A83E03" w:rsidRPr="005F5B69" w:rsidRDefault="00A83E03" w:rsidP="00DA144A">
      <w:pPr>
        <w:spacing w:line="240" w:lineRule="auto"/>
        <w:jc w:val="both"/>
        <w:rPr>
          <w:rFonts w:ascii="Times New Roman" w:hAnsi="Times New Roman" w:cs="Times New Roman"/>
          <w:sz w:val="24"/>
          <w:szCs w:val="24"/>
        </w:rPr>
      </w:pPr>
      <w:r w:rsidRPr="005F5B69">
        <w:rPr>
          <w:rFonts w:ascii="Times New Roman" w:hAnsi="Times New Roman" w:cs="Times New Roman"/>
          <w:sz w:val="24"/>
          <w:szCs w:val="24"/>
        </w:rPr>
        <w:t>Luis Fernando Salazar, magistrado instructor de la</w:t>
      </w:r>
      <w:r w:rsidR="00C57FC0">
        <w:rPr>
          <w:rFonts w:ascii="Times New Roman" w:hAnsi="Times New Roman" w:cs="Times New Roman"/>
          <w:sz w:val="24"/>
          <w:szCs w:val="24"/>
        </w:rPr>
        <w:t>s</w:t>
      </w:r>
      <w:r w:rsidRPr="005F5B69">
        <w:rPr>
          <w:rFonts w:ascii="Times New Roman" w:hAnsi="Times New Roman" w:cs="Times New Roman"/>
          <w:sz w:val="24"/>
          <w:szCs w:val="24"/>
        </w:rPr>
        <w:t xml:space="preserve"> acci</w:t>
      </w:r>
      <w:r w:rsidR="00C57FC0">
        <w:rPr>
          <w:rFonts w:ascii="Times New Roman" w:hAnsi="Times New Roman" w:cs="Times New Roman"/>
          <w:sz w:val="24"/>
          <w:szCs w:val="24"/>
        </w:rPr>
        <w:t>ones</w:t>
      </w:r>
      <w:r w:rsidRPr="005F5B69">
        <w:rPr>
          <w:rFonts w:ascii="Times New Roman" w:hAnsi="Times New Roman" w:cs="Times New Roman"/>
          <w:sz w:val="24"/>
          <w:szCs w:val="24"/>
        </w:rPr>
        <w:t xml:space="preserve"> de </w:t>
      </w:r>
      <w:r w:rsidR="00C57FC0">
        <w:rPr>
          <w:rFonts w:ascii="Times New Roman" w:hAnsi="Times New Roman" w:cs="Times New Roman"/>
          <w:sz w:val="24"/>
          <w:szCs w:val="24"/>
        </w:rPr>
        <w:t>in</w:t>
      </w:r>
      <w:r w:rsidRPr="005F5B69">
        <w:rPr>
          <w:rFonts w:ascii="Times New Roman" w:hAnsi="Times New Roman" w:cs="Times New Roman"/>
          <w:sz w:val="24"/>
          <w:szCs w:val="24"/>
        </w:rPr>
        <w:t>constitucionalidad contra la</w:t>
      </w:r>
      <w:r w:rsidR="00C57FC0">
        <w:rPr>
          <w:rFonts w:ascii="Times New Roman" w:hAnsi="Times New Roman" w:cs="Times New Roman"/>
          <w:sz w:val="24"/>
          <w:szCs w:val="24"/>
        </w:rPr>
        <w:t>s</w:t>
      </w:r>
      <w:r w:rsidRPr="005F5B69">
        <w:rPr>
          <w:rFonts w:ascii="Times New Roman" w:hAnsi="Times New Roman" w:cs="Times New Roman"/>
          <w:sz w:val="24"/>
          <w:szCs w:val="24"/>
        </w:rPr>
        <w:t xml:space="preserve"> </w:t>
      </w:r>
      <w:r w:rsidR="002E37FF">
        <w:rPr>
          <w:rFonts w:ascii="Times New Roman" w:hAnsi="Times New Roman" w:cs="Times New Roman"/>
          <w:sz w:val="24"/>
          <w:szCs w:val="24"/>
        </w:rPr>
        <w:t>C</w:t>
      </w:r>
      <w:r w:rsidRPr="005F5B69">
        <w:rPr>
          <w:rFonts w:ascii="Times New Roman" w:hAnsi="Times New Roman" w:cs="Times New Roman"/>
          <w:sz w:val="24"/>
          <w:szCs w:val="24"/>
        </w:rPr>
        <w:t>onvenci</w:t>
      </w:r>
      <w:r w:rsidR="0020787E">
        <w:rPr>
          <w:rFonts w:ascii="Times New Roman" w:hAnsi="Times New Roman" w:cs="Times New Roman"/>
          <w:sz w:val="24"/>
          <w:szCs w:val="24"/>
        </w:rPr>
        <w:t>ones</w:t>
      </w:r>
      <w:r w:rsidRPr="005F5B69">
        <w:rPr>
          <w:rFonts w:ascii="Times New Roman" w:hAnsi="Times New Roman" w:cs="Times New Roman"/>
          <w:sz w:val="24"/>
          <w:szCs w:val="24"/>
        </w:rPr>
        <w:t xml:space="preserve"> </w:t>
      </w:r>
      <w:r w:rsidR="002E37FF">
        <w:rPr>
          <w:rFonts w:ascii="Times New Roman" w:hAnsi="Times New Roman" w:cs="Times New Roman"/>
          <w:sz w:val="24"/>
          <w:szCs w:val="24"/>
        </w:rPr>
        <w:t>C</w:t>
      </w:r>
      <w:r w:rsidRPr="005F5B69">
        <w:rPr>
          <w:rFonts w:ascii="Times New Roman" w:hAnsi="Times New Roman" w:cs="Times New Roman"/>
          <w:sz w:val="24"/>
          <w:szCs w:val="24"/>
        </w:rPr>
        <w:t>olectiva</w:t>
      </w:r>
      <w:r w:rsidR="00C57FC0">
        <w:rPr>
          <w:rFonts w:ascii="Times New Roman" w:hAnsi="Times New Roman" w:cs="Times New Roman"/>
          <w:sz w:val="24"/>
          <w:szCs w:val="24"/>
        </w:rPr>
        <w:t xml:space="preserve">s de las </w:t>
      </w:r>
      <w:r w:rsidR="00D32B75">
        <w:rPr>
          <w:rFonts w:ascii="Times New Roman" w:hAnsi="Times New Roman" w:cs="Times New Roman"/>
          <w:sz w:val="24"/>
          <w:szCs w:val="24"/>
        </w:rPr>
        <w:t>M</w:t>
      </w:r>
      <w:r w:rsidRPr="005F5B69">
        <w:rPr>
          <w:rFonts w:ascii="Times New Roman" w:hAnsi="Times New Roman" w:cs="Times New Roman"/>
          <w:sz w:val="24"/>
          <w:szCs w:val="24"/>
        </w:rPr>
        <w:t>unicipalidad</w:t>
      </w:r>
      <w:r w:rsidR="00C57FC0">
        <w:rPr>
          <w:rFonts w:ascii="Times New Roman" w:hAnsi="Times New Roman" w:cs="Times New Roman"/>
          <w:sz w:val="24"/>
          <w:szCs w:val="24"/>
        </w:rPr>
        <w:t>es</w:t>
      </w:r>
      <w:r w:rsidRPr="005F5B69">
        <w:rPr>
          <w:rFonts w:ascii="Times New Roman" w:hAnsi="Times New Roman" w:cs="Times New Roman"/>
          <w:sz w:val="24"/>
          <w:szCs w:val="24"/>
        </w:rPr>
        <w:t xml:space="preserve"> de Abanga</w:t>
      </w:r>
      <w:r w:rsidR="00153567">
        <w:rPr>
          <w:rFonts w:ascii="Times New Roman" w:hAnsi="Times New Roman" w:cs="Times New Roman"/>
          <w:sz w:val="24"/>
          <w:szCs w:val="24"/>
        </w:rPr>
        <w:t>r</w:t>
      </w:r>
      <w:r w:rsidRPr="005F5B69">
        <w:rPr>
          <w:rFonts w:ascii="Times New Roman" w:hAnsi="Times New Roman" w:cs="Times New Roman"/>
          <w:sz w:val="24"/>
          <w:szCs w:val="24"/>
        </w:rPr>
        <w:t>es</w:t>
      </w:r>
      <w:r w:rsidR="00C57FC0">
        <w:rPr>
          <w:rFonts w:ascii="Times New Roman" w:hAnsi="Times New Roman" w:cs="Times New Roman"/>
          <w:sz w:val="24"/>
          <w:szCs w:val="24"/>
        </w:rPr>
        <w:t xml:space="preserve"> y Carrillo</w:t>
      </w:r>
      <w:r w:rsidRPr="005F5B69">
        <w:rPr>
          <w:rFonts w:ascii="Times New Roman" w:hAnsi="Times New Roman" w:cs="Times New Roman"/>
          <w:sz w:val="24"/>
          <w:szCs w:val="24"/>
        </w:rPr>
        <w:t xml:space="preserve">, explicó que </w:t>
      </w:r>
      <w:r w:rsidRPr="005F5B69">
        <w:rPr>
          <w:rFonts w:ascii="Times New Roman" w:hAnsi="Times New Roman" w:cs="Times New Roman"/>
          <w:sz w:val="24"/>
          <w:szCs w:val="24"/>
        </w:rPr>
        <w:lastRenderedPageBreak/>
        <w:t>si bien el Código de Trabajo establece como tope de cesantía los últimos ocho años de la relación laboral, la jurisprudencia</w:t>
      </w:r>
      <w:r w:rsidR="00D32B75">
        <w:rPr>
          <w:rFonts w:ascii="Times New Roman" w:hAnsi="Times New Roman" w:cs="Times New Roman"/>
          <w:sz w:val="24"/>
          <w:szCs w:val="24"/>
        </w:rPr>
        <w:t xml:space="preserve"> constitucional</w:t>
      </w:r>
      <w:r w:rsidRPr="005F5B69">
        <w:rPr>
          <w:rFonts w:ascii="Times New Roman" w:hAnsi="Times New Roman" w:cs="Times New Roman"/>
          <w:sz w:val="24"/>
          <w:szCs w:val="24"/>
        </w:rPr>
        <w:t xml:space="preserve"> reconoce la posibilidad</w:t>
      </w:r>
      <w:r>
        <w:rPr>
          <w:rFonts w:ascii="Times New Roman" w:hAnsi="Times New Roman" w:cs="Times New Roman"/>
          <w:sz w:val="24"/>
          <w:szCs w:val="24"/>
        </w:rPr>
        <w:t xml:space="preserve"> </w:t>
      </w:r>
      <w:r w:rsidRPr="005F5B69">
        <w:rPr>
          <w:rFonts w:ascii="Times New Roman" w:hAnsi="Times New Roman" w:cs="Times New Roman"/>
          <w:sz w:val="24"/>
          <w:szCs w:val="24"/>
        </w:rPr>
        <w:t>de mejorar</w:t>
      </w:r>
      <w:r w:rsidR="002E37FF">
        <w:rPr>
          <w:rFonts w:ascii="Times New Roman" w:hAnsi="Times New Roman" w:cs="Times New Roman"/>
          <w:sz w:val="24"/>
          <w:szCs w:val="24"/>
        </w:rPr>
        <w:t xml:space="preserve"> </w:t>
      </w:r>
      <w:r w:rsidRPr="005F5B69">
        <w:rPr>
          <w:rFonts w:ascii="Times New Roman" w:hAnsi="Times New Roman" w:cs="Times New Roman"/>
          <w:sz w:val="24"/>
          <w:szCs w:val="24"/>
        </w:rPr>
        <w:t>ciertas condiciones mínimas de los trabajadores que superen las establecidas en la legisla</w:t>
      </w:r>
      <w:r>
        <w:rPr>
          <w:rFonts w:ascii="Times New Roman" w:hAnsi="Times New Roman" w:cs="Times New Roman"/>
          <w:sz w:val="24"/>
          <w:szCs w:val="24"/>
        </w:rPr>
        <w:t>ción</w:t>
      </w:r>
      <w:r w:rsidR="00D32B75">
        <w:rPr>
          <w:rFonts w:ascii="Times New Roman" w:hAnsi="Times New Roman" w:cs="Times New Roman"/>
          <w:sz w:val="24"/>
          <w:szCs w:val="24"/>
        </w:rPr>
        <w:t xml:space="preserve"> laboral</w:t>
      </w:r>
      <w:r w:rsidRPr="005F5B69">
        <w:rPr>
          <w:rFonts w:ascii="Times New Roman" w:hAnsi="Times New Roman" w:cs="Times New Roman"/>
          <w:sz w:val="24"/>
          <w:szCs w:val="24"/>
        </w:rPr>
        <w:t>. Esto bajo el entendido de que se respeten</w:t>
      </w:r>
      <w:r w:rsidR="00D32B75">
        <w:rPr>
          <w:rFonts w:ascii="Times New Roman" w:hAnsi="Times New Roman" w:cs="Times New Roman"/>
          <w:sz w:val="24"/>
          <w:szCs w:val="24"/>
        </w:rPr>
        <w:t xml:space="preserve"> los principios de razonabilidad y proporcionalidad, por tratarse de beneficios pagados con fondos públicos</w:t>
      </w:r>
      <w:r w:rsidRPr="005F5B69">
        <w:rPr>
          <w:rFonts w:ascii="Times New Roman" w:hAnsi="Times New Roman" w:cs="Times New Roman"/>
          <w:sz w:val="24"/>
          <w:szCs w:val="24"/>
        </w:rPr>
        <w:t>.</w:t>
      </w:r>
    </w:p>
    <w:p w:rsidR="00A83E03" w:rsidRDefault="00A83E03" w:rsidP="00DA144A">
      <w:pPr>
        <w:spacing w:line="240" w:lineRule="auto"/>
        <w:jc w:val="both"/>
        <w:rPr>
          <w:rFonts w:ascii="Times New Roman" w:hAnsi="Times New Roman" w:cs="Times New Roman"/>
          <w:sz w:val="24"/>
          <w:szCs w:val="24"/>
        </w:rPr>
      </w:pPr>
      <w:r w:rsidRPr="005F5B69">
        <w:rPr>
          <w:rFonts w:ascii="Times New Roman" w:hAnsi="Times New Roman" w:cs="Times New Roman"/>
          <w:sz w:val="24"/>
          <w:szCs w:val="24"/>
        </w:rPr>
        <w:t xml:space="preserve">“Para que la disposición convencional sea razonable, es posible que el mínimo legal de ocho años pueda incrementarse en cuatro años más, de manera que el tope máximo de cesantía debe radicarse en </w:t>
      </w:r>
      <w:r w:rsidR="002E37FF">
        <w:rPr>
          <w:rFonts w:ascii="Times New Roman" w:hAnsi="Times New Roman" w:cs="Times New Roman"/>
          <w:sz w:val="24"/>
          <w:szCs w:val="24"/>
        </w:rPr>
        <w:t>12</w:t>
      </w:r>
      <w:r w:rsidRPr="005F5B69">
        <w:rPr>
          <w:rFonts w:ascii="Times New Roman" w:hAnsi="Times New Roman" w:cs="Times New Roman"/>
          <w:sz w:val="24"/>
          <w:szCs w:val="24"/>
        </w:rPr>
        <w:t xml:space="preserve"> años”, </w:t>
      </w:r>
      <w:r>
        <w:rPr>
          <w:rFonts w:ascii="Times New Roman" w:hAnsi="Times New Roman" w:cs="Times New Roman"/>
          <w:sz w:val="24"/>
          <w:szCs w:val="24"/>
        </w:rPr>
        <w:t>detall</w:t>
      </w:r>
      <w:r w:rsidRPr="005F5B69">
        <w:rPr>
          <w:rFonts w:ascii="Times New Roman" w:hAnsi="Times New Roman" w:cs="Times New Roman"/>
          <w:sz w:val="24"/>
          <w:szCs w:val="24"/>
        </w:rPr>
        <w:t>ó Salazar.</w:t>
      </w:r>
    </w:p>
    <w:p w:rsidR="00A83E03" w:rsidRDefault="00A83E03" w:rsidP="00DA144A">
      <w:pPr>
        <w:spacing w:line="240" w:lineRule="auto"/>
        <w:jc w:val="both"/>
        <w:rPr>
          <w:rFonts w:ascii="Times New Roman" w:hAnsi="Times New Roman"/>
          <w:sz w:val="28"/>
        </w:rPr>
      </w:pPr>
      <w:r w:rsidRPr="00587AEE">
        <w:rPr>
          <w:rFonts w:ascii="Times New Roman" w:hAnsi="Times New Roman" w:cs="Times New Roman"/>
          <w:sz w:val="24"/>
          <w:szCs w:val="24"/>
        </w:rPr>
        <w:t>En la</w:t>
      </w:r>
      <w:r w:rsidR="0020787E">
        <w:rPr>
          <w:rFonts w:ascii="Times New Roman" w:hAnsi="Times New Roman" w:cs="Times New Roman"/>
          <w:sz w:val="24"/>
          <w:szCs w:val="24"/>
        </w:rPr>
        <w:t>s</w:t>
      </w:r>
      <w:r w:rsidRPr="00587AEE">
        <w:rPr>
          <w:rFonts w:ascii="Times New Roman" w:hAnsi="Times New Roman" w:cs="Times New Roman"/>
          <w:sz w:val="24"/>
          <w:szCs w:val="24"/>
        </w:rPr>
        <w:t xml:space="preserve"> acci</w:t>
      </w:r>
      <w:r w:rsidR="0020787E">
        <w:rPr>
          <w:rFonts w:ascii="Times New Roman" w:hAnsi="Times New Roman" w:cs="Times New Roman"/>
          <w:sz w:val="24"/>
          <w:szCs w:val="24"/>
        </w:rPr>
        <w:t>ones</w:t>
      </w:r>
      <w:r w:rsidRPr="00587AEE">
        <w:rPr>
          <w:rFonts w:ascii="Times New Roman" w:hAnsi="Times New Roman" w:cs="Times New Roman"/>
          <w:sz w:val="24"/>
          <w:szCs w:val="24"/>
        </w:rPr>
        <w:t xml:space="preserve"> también se impugn</w:t>
      </w:r>
      <w:r>
        <w:rPr>
          <w:rFonts w:ascii="Times New Roman" w:hAnsi="Times New Roman" w:cs="Times New Roman"/>
          <w:sz w:val="24"/>
          <w:szCs w:val="24"/>
        </w:rPr>
        <w:t xml:space="preserve">ó </w:t>
      </w:r>
      <w:r w:rsidR="0020787E">
        <w:rPr>
          <w:rFonts w:ascii="Times New Roman" w:hAnsi="Times New Roman" w:cs="Times New Roman"/>
          <w:sz w:val="24"/>
          <w:szCs w:val="24"/>
        </w:rPr>
        <w:t>el reconocimiento</w:t>
      </w:r>
      <w:r w:rsidRPr="00587AEE">
        <w:rPr>
          <w:rFonts w:ascii="Times New Roman" w:hAnsi="Times New Roman"/>
          <w:sz w:val="24"/>
          <w:szCs w:val="24"/>
        </w:rPr>
        <w:t xml:space="preserve"> </w:t>
      </w:r>
      <w:r w:rsidR="0020787E">
        <w:rPr>
          <w:rFonts w:ascii="Times New Roman" w:hAnsi="Times New Roman"/>
          <w:sz w:val="24"/>
          <w:szCs w:val="24"/>
        </w:rPr>
        <w:t>d</w:t>
      </w:r>
      <w:r w:rsidRPr="00587AEE">
        <w:rPr>
          <w:rFonts w:ascii="Times New Roman" w:hAnsi="Times New Roman"/>
          <w:sz w:val="24"/>
          <w:szCs w:val="24"/>
        </w:rPr>
        <w:t>el auxilio de cesantía para los supuestos de supresión del cargo, fallecimiento y jubilación del trabajador. En este tema</w:t>
      </w:r>
      <w:r w:rsidR="00F82495">
        <w:rPr>
          <w:rFonts w:ascii="Times New Roman" w:hAnsi="Times New Roman"/>
          <w:sz w:val="24"/>
          <w:szCs w:val="24"/>
        </w:rPr>
        <w:t>,</w:t>
      </w:r>
      <w:r w:rsidRPr="00587AEE">
        <w:rPr>
          <w:rFonts w:ascii="Times New Roman" w:hAnsi="Times New Roman"/>
          <w:sz w:val="24"/>
          <w:szCs w:val="24"/>
        </w:rPr>
        <w:t xml:space="preserve"> el </w:t>
      </w:r>
      <w:r w:rsidR="002E37FF">
        <w:rPr>
          <w:rFonts w:ascii="Times New Roman" w:hAnsi="Times New Roman"/>
          <w:sz w:val="24"/>
          <w:szCs w:val="24"/>
        </w:rPr>
        <w:t>T</w:t>
      </w:r>
      <w:r w:rsidRPr="00587AEE">
        <w:rPr>
          <w:rFonts w:ascii="Times New Roman" w:hAnsi="Times New Roman"/>
          <w:sz w:val="24"/>
          <w:szCs w:val="24"/>
        </w:rPr>
        <w:t>ribunal no encontró ningún vicio de inconstitucionalidad</w:t>
      </w:r>
      <w:r>
        <w:rPr>
          <w:rFonts w:ascii="Times New Roman" w:hAnsi="Times New Roman"/>
          <w:sz w:val="28"/>
        </w:rPr>
        <w:t>.</w:t>
      </w:r>
    </w:p>
    <w:p w:rsidR="00E63BB2" w:rsidRPr="00287AB9" w:rsidRDefault="00E63BB2" w:rsidP="00DA144A">
      <w:pPr>
        <w:spacing w:line="240" w:lineRule="auto"/>
        <w:jc w:val="both"/>
        <w:rPr>
          <w:rFonts w:ascii="Times New Roman" w:hAnsi="Times New Roman" w:cs="Times New Roman"/>
          <w:b/>
          <w:sz w:val="24"/>
          <w:szCs w:val="24"/>
        </w:rPr>
      </w:pPr>
      <w:r w:rsidRPr="00287AB9">
        <w:rPr>
          <w:rFonts w:ascii="Times New Roman" w:hAnsi="Times New Roman" w:cs="Times New Roman"/>
          <w:b/>
          <w:sz w:val="24"/>
          <w:szCs w:val="24"/>
        </w:rPr>
        <w:t>Doble sesión</w:t>
      </w:r>
    </w:p>
    <w:p w:rsidR="00287AB9" w:rsidRDefault="00E63BB2" w:rsidP="00DA144A">
      <w:pPr>
        <w:spacing w:line="240" w:lineRule="auto"/>
        <w:jc w:val="both"/>
        <w:rPr>
          <w:rFonts w:ascii="Times New Roman" w:hAnsi="Times New Roman" w:cs="Times New Roman"/>
          <w:sz w:val="24"/>
          <w:szCs w:val="24"/>
        </w:rPr>
      </w:pPr>
      <w:r w:rsidRPr="00DA144A">
        <w:rPr>
          <w:rFonts w:ascii="Times New Roman" w:hAnsi="Times New Roman" w:cs="Times New Roman"/>
          <w:sz w:val="24"/>
          <w:szCs w:val="24"/>
        </w:rPr>
        <w:t>Este miércoles 22 de mayo, con el fin de resolver la mayor cantidad de acciones posibles, los magistrados y magistradas de la Sala Constitucional sesionaron en jornada doble (mañana y tarde); la medida se repetirá una vez al mes y  responde al alto circul</w:t>
      </w:r>
      <w:r w:rsidR="00A43D0B" w:rsidRPr="00DA144A">
        <w:rPr>
          <w:rFonts w:ascii="Times New Roman" w:hAnsi="Times New Roman" w:cs="Times New Roman"/>
          <w:sz w:val="24"/>
          <w:szCs w:val="24"/>
        </w:rPr>
        <w:t>ante de amparos, hábeas corpus, acciones y consultas que e</w:t>
      </w:r>
      <w:r w:rsidR="00287AB9">
        <w:rPr>
          <w:rFonts w:ascii="Times New Roman" w:hAnsi="Times New Roman" w:cs="Times New Roman"/>
          <w:sz w:val="24"/>
          <w:szCs w:val="24"/>
        </w:rPr>
        <w:t>ste</w:t>
      </w:r>
      <w:r w:rsidR="00A43D0B" w:rsidRPr="00DA144A">
        <w:rPr>
          <w:rFonts w:ascii="Times New Roman" w:hAnsi="Times New Roman" w:cs="Times New Roman"/>
          <w:sz w:val="24"/>
          <w:szCs w:val="24"/>
        </w:rPr>
        <w:t xml:space="preserve"> T</w:t>
      </w:r>
      <w:r w:rsidRPr="00DA144A">
        <w:rPr>
          <w:rFonts w:ascii="Times New Roman" w:hAnsi="Times New Roman" w:cs="Times New Roman"/>
          <w:sz w:val="24"/>
          <w:szCs w:val="24"/>
        </w:rPr>
        <w:t xml:space="preserve">ribunal, garante de la dignidad, los derechos y libertad de las personas, </w:t>
      </w:r>
      <w:r w:rsidR="00A43D0B" w:rsidRPr="00DA144A">
        <w:rPr>
          <w:rFonts w:ascii="Times New Roman" w:hAnsi="Times New Roman" w:cs="Times New Roman"/>
          <w:sz w:val="24"/>
          <w:szCs w:val="24"/>
        </w:rPr>
        <w:t xml:space="preserve">recibe cada día. </w:t>
      </w:r>
    </w:p>
    <w:p w:rsidR="00A43D0B" w:rsidRPr="00A43D0B" w:rsidRDefault="00A43D0B" w:rsidP="002E37FF">
      <w:pPr>
        <w:spacing w:line="240" w:lineRule="auto"/>
        <w:jc w:val="both"/>
        <w:rPr>
          <w:rFonts w:ascii="Times New Roman" w:hAnsi="Times New Roman" w:cs="Times New Roman"/>
          <w:sz w:val="24"/>
          <w:szCs w:val="24"/>
        </w:rPr>
      </w:pPr>
      <w:r w:rsidRPr="00DA144A">
        <w:rPr>
          <w:rFonts w:ascii="Times New Roman" w:hAnsi="Times New Roman" w:cs="Times New Roman"/>
          <w:sz w:val="24"/>
          <w:szCs w:val="24"/>
        </w:rPr>
        <w:t xml:space="preserve">Solo en el 2018, la Sala Constitucional votó 21.855 asuntos, lo que arroja un promedio de </w:t>
      </w:r>
      <w:r w:rsidR="00F22651">
        <w:rPr>
          <w:rFonts w:ascii="Times New Roman" w:hAnsi="Times New Roman" w:cs="Times New Roman"/>
          <w:sz w:val="24"/>
          <w:szCs w:val="24"/>
        </w:rPr>
        <w:t>1.821</w:t>
      </w:r>
      <w:r w:rsidRPr="00DA144A">
        <w:rPr>
          <w:rFonts w:ascii="Times New Roman" w:hAnsi="Times New Roman" w:cs="Times New Roman"/>
          <w:sz w:val="24"/>
          <w:szCs w:val="24"/>
        </w:rPr>
        <w:t xml:space="preserve"> por mes.</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7"/>
        <w:gridCol w:w="6176"/>
        <w:gridCol w:w="38"/>
      </w:tblGrid>
      <w:tr w:rsidR="00A83E03" w:rsidRPr="00D82C53" w:rsidTr="00BF2E6C">
        <w:trPr>
          <w:gridAfter w:val="1"/>
          <w:wAfter w:w="38" w:type="dxa"/>
        </w:trPr>
        <w:tc>
          <w:tcPr>
            <w:tcW w:w="2807" w:type="dxa"/>
            <w:shd w:val="clear" w:color="auto" w:fill="DBE5F1" w:themeFill="accent1" w:themeFillTint="33"/>
            <w:hideMark/>
          </w:tcPr>
          <w:p w:rsidR="00A83E03" w:rsidRPr="00D82C53" w:rsidRDefault="00A83E03" w:rsidP="00BF2E6C">
            <w:pPr>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Fecha de votación:</w:t>
            </w:r>
          </w:p>
        </w:tc>
        <w:tc>
          <w:tcPr>
            <w:tcW w:w="6176" w:type="dxa"/>
            <w:hideMark/>
          </w:tcPr>
          <w:p w:rsidR="00A83E03" w:rsidRPr="00D82C53" w:rsidRDefault="00A83E03"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12:16 p.m. del miércoles 15</w:t>
            </w:r>
            <w:r w:rsidRPr="00D82C53">
              <w:rPr>
                <w:rFonts w:ascii="Arial" w:eastAsia="Times New Roman" w:hAnsi="Arial" w:cs="Arial"/>
                <w:color w:val="222222"/>
                <w:sz w:val="16"/>
                <w:szCs w:val="16"/>
                <w:lang w:eastAsia="es-CR"/>
              </w:rPr>
              <w:t xml:space="preserve"> de ma</w:t>
            </w:r>
            <w:r>
              <w:rPr>
                <w:rFonts w:ascii="Arial" w:eastAsia="Times New Roman" w:hAnsi="Arial" w:cs="Arial"/>
                <w:color w:val="222222"/>
                <w:sz w:val="16"/>
                <w:szCs w:val="16"/>
                <w:lang w:eastAsia="es-CR"/>
              </w:rPr>
              <w:t>y</w:t>
            </w:r>
            <w:r w:rsidRPr="00D82C53">
              <w:rPr>
                <w:rFonts w:ascii="Arial" w:eastAsia="Times New Roman" w:hAnsi="Arial" w:cs="Arial"/>
                <w:color w:val="222222"/>
                <w:sz w:val="16"/>
                <w:szCs w:val="16"/>
                <w:lang w:eastAsia="es-CR"/>
              </w:rPr>
              <w:t>o, 2019.</w:t>
            </w:r>
          </w:p>
        </w:tc>
      </w:tr>
      <w:tr w:rsidR="00A83E03" w:rsidRPr="00D82C53" w:rsidTr="00BF2E6C">
        <w:trPr>
          <w:gridAfter w:val="1"/>
          <w:wAfter w:w="38" w:type="dxa"/>
        </w:trPr>
        <w:tc>
          <w:tcPr>
            <w:tcW w:w="2807" w:type="dxa"/>
            <w:shd w:val="clear" w:color="auto" w:fill="DBE5F1" w:themeFill="accent1" w:themeFillTint="33"/>
            <w:hideMark/>
          </w:tcPr>
          <w:p w:rsidR="00A83E03" w:rsidRPr="00A43D0B" w:rsidRDefault="00A83E03" w:rsidP="00BF2E6C">
            <w:pPr>
              <w:rPr>
                <w:rFonts w:ascii="Calibri" w:eastAsia="Times New Roman" w:hAnsi="Calibri" w:cs="Times New Roman"/>
                <w:b/>
                <w:color w:val="222222"/>
                <w:lang w:eastAsia="es-CR"/>
              </w:rPr>
            </w:pPr>
            <w:r w:rsidRPr="00A43D0B">
              <w:rPr>
                <w:rFonts w:ascii="Arial" w:eastAsia="Times New Roman" w:hAnsi="Arial" w:cs="Arial"/>
                <w:b/>
                <w:color w:val="222222"/>
                <w:sz w:val="16"/>
                <w:szCs w:val="16"/>
                <w:lang w:eastAsia="es-CR"/>
              </w:rPr>
              <w:t>Número de fallo:</w:t>
            </w:r>
          </w:p>
        </w:tc>
        <w:tc>
          <w:tcPr>
            <w:tcW w:w="6176" w:type="dxa"/>
            <w:hideMark/>
          </w:tcPr>
          <w:p w:rsidR="00A83E03" w:rsidRPr="00A43D0B" w:rsidRDefault="00A83E03" w:rsidP="00BF2E6C">
            <w:pPr>
              <w:rPr>
                <w:rFonts w:ascii="Calibri" w:eastAsia="Times New Roman" w:hAnsi="Calibri" w:cs="Times New Roman"/>
                <w:b/>
                <w:color w:val="222222"/>
                <w:lang w:eastAsia="es-CR"/>
              </w:rPr>
            </w:pPr>
            <w:r w:rsidRPr="00A43D0B">
              <w:rPr>
                <w:rFonts w:ascii="Arial" w:eastAsia="Times New Roman" w:hAnsi="Arial" w:cs="Arial"/>
                <w:b/>
                <w:color w:val="222222"/>
                <w:sz w:val="16"/>
                <w:szCs w:val="16"/>
                <w:lang w:eastAsia="es-CR"/>
              </w:rPr>
              <w:t>2019-008679</w:t>
            </w:r>
          </w:p>
        </w:tc>
      </w:tr>
      <w:tr w:rsidR="00A83E03" w:rsidRPr="00D82C53" w:rsidTr="00BF2E6C">
        <w:trPr>
          <w:gridAfter w:val="1"/>
          <w:wAfter w:w="38" w:type="dxa"/>
          <w:trHeight w:val="58"/>
        </w:trPr>
        <w:tc>
          <w:tcPr>
            <w:tcW w:w="2807" w:type="dxa"/>
            <w:shd w:val="clear" w:color="auto" w:fill="DBE5F1" w:themeFill="accent1" w:themeFillTint="33"/>
            <w:hideMark/>
          </w:tcPr>
          <w:p w:rsidR="00A83E03" w:rsidRPr="00D82C53" w:rsidRDefault="00A83E03"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Fecha de presentación de la acción</w:t>
            </w:r>
            <w:r w:rsidRPr="00D82C53">
              <w:rPr>
                <w:rFonts w:ascii="Arial" w:eastAsia="Times New Roman" w:hAnsi="Arial" w:cs="Arial"/>
                <w:color w:val="222222"/>
                <w:sz w:val="16"/>
                <w:szCs w:val="16"/>
                <w:lang w:eastAsia="es-CR"/>
              </w:rPr>
              <w:t>:</w:t>
            </w:r>
          </w:p>
        </w:tc>
        <w:tc>
          <w:tcPr>
            <w:tcW w:w="6176" w:type="dxa"/>
            <w:hideMark/>
          </w:tcPr>
          <w:p w:rsidR="00A83E03" w:rsidRPr="00D82C53" w:rsidRDefault="00A83E03"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8 de octubre</w:t>
            </w:r>
            <w:r w:rsidRPr="00D82C53">
              <w:rPr>
                <w:rFonts w:ascii="Arial" w:eastAsia="Times New Roman" w:hAnsi="Arial" w:cs="Arial"/>
                <w:color w:val="222222"/>
                <w:sz w:val="16"/>
                <w:szCs w:val="16"/>
                <w:lang w:eastAsia="es-CR"/>
              </w:rPr>
              <w:t>, 201</w:t>
            </w:r>
            <w:r>
              <w:rPr>
                <w:rFonts w:ascii="Arial" w:eastAsia="Times New Roman" w:hAnsi="Arial" w:cs="Arial"/>
                <w:color w:val="222222"/>
                <w:sz w:val="16"/>
                <w:szCs w:val="16"/>
                <w:lang w:eastAsia="es-CR"/>
              </w:rPr>
              <w:t>8</w:t>
            </w:r>
            <w:r w:rsidRPr="00D82C53">
              <w:rPr>
                <w:rFonts w:ascii="Arial" w:eastAsia="Times New Roman" w:hAnsi="Arial" w:cs="Arial"/>
                <w:color w:val="222222"/>
                <w:sz w:val="16"/>
                <w:szCs w:val="16"/>
                <w:lang w:eastAsia="es-CR"/>
              </w:rPr>
              <w:t>.</w:t>
            </w:r>
          </w:p>
        </w:tc>
      </w:tr>
      <w:tr w:rsidR="00A83E03" w:rsidRPr="00D82C53" w:rsidTr="00BF2E6C">
        <w:trPr>
          <w:gridAfter w:val="1"/>
          <w:wAfter w:w="38" w:type="dxa"/>
        </w:trPr>
        <w:tc>
          <w:tcPr>
            <w:tcW w:w="2807" w:type="dxa"/>
            <w:shd w:val="clear" w:color="auto" w:fill="DBE5F1" w:themeFill="accent1" w:themeFillTint="33"/>
            <w:hideMark/>
          </w:tcPr>
          <w:p w:rsidR="00A83E03" w:rsidRPr="00D82C53" w:rsidRDefault="00A83E03"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Normas impugnadas</w:t>
            </w:r>
            <w:r w:rsidRPr="00D82C53">
              <w:rPr>
                <w:rFonts w:ascii="Arial" w:eastAsia="Times New Roman" w:hAnsi="Arial" w:cs="Arial"/>
                <w:color w:val="222222"/>
                <w:sz w:val="16"/>
                <w:szCs w:val="16"/>
                <w:lang w:eastAsia="es-CR"/>
              </w:rPr>
              <w:t>:</w:t>
            </w:r>
          </w:p>
        </w:tc>
        <w:tc>
          <w:tcPr>
            <w:tcW w:w="6176" w:type="dxa"/>
            <w:hideMark/>
          </w:tcPr>
          <w:p w:rsidR="00A83E03" w:rsidRPr="00D82C53" w:rsidRDefault="00A83E03" w:rsidP="00F22651">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 xml:space="preserve">Incisos a y j de la </w:t>
            </w:r>
            <w:r w:rsidR="00F22651">
              <w:rPr>
                <w:rFonts w:ascii="Arial" w:eastAsia="Times New Roman" w:hAnsi="Arial" w:cs="Arial"/>
                <w:color w:val="222222"/>
                <w:sz w:val="16"/>
                <w:szCs w:val="16"/>
                <w:lang w:eastAsia="es-CR"/>
              </w:rPr>
              <w:t>C</w:t>
            </w:r>
            <w:r>
              <w:rPr>
                <w:rFonts w:ascii="Arial" w:eastAsia="Times New Roman" w:hAnsi="Arial" w:cs="Arial"/>
                <w:color w:val="222222"/>
                <w:sz w:val="16"/>
                <w:szCs w:val="16"/>
                <w:lang w:eastAsia="es-CR"/>
              </w:rPr>
              <w:t xml:space="preserve">onvención </w:t>
            </w:r>
            <w:r w:rsidR="00F22651">
              <w:rPr>
                <w:rFonts w:ascii="Arial" w:eastAsia="Times New Roman" w:hAnsi="Arial" w:cs="Arial"/>
                <w:color w:val="222222"/>
                <w:sz w:val="16"/>
                <w:szCs w:val="16"/>
                <w:lang w:eastAsia="es-CR"/>
              </w:rPr>
              <w:t>C</w:t>
            </w:r>
            <w:r w:rsidRPr="00587AEE">
              <w:rPr>
                <w:rFonts w:ascii="Arial" w:eastAsia="Times New Roman" w:hAnsi="Arial" w:cs="Arial"/>
                <w:color w:val="222222"/>
                <w:sz w:val="16"/>
                <w:szCs w:val="16"/>
                <w:lang w:eastAsia="es-CR"/>
              </w:rPr>
              <w:t>olectiva</w:t>
            </w:r>
            <w:r w:rsidR="00F22651">
              <w:rPr>
                <w:rFonts w:ascii="Arial" w:eastAsia="Times New Roman" w:hAnsi="Arial" w:cs="Arial"/>
                <w:color w:val="222222"/>
                <w:sz w:val="16"/>
                <w:szCs w:val="16"/>
                <w:lang w:eastAsia="es-CR"/>
              </w:rPr>
              <w:t xml:space="preserve"> de Trabajo</w:t>
            </w:r>
            <w:r w:rsidRPr="00587AEE">
              <w:rPr>
                <w:rFonts w:ascii="Arial" w:eastAsia="Times New Roman" w:hAnsi="Arial" w:cs="Arial"/>
                <w:color w:val="222222"/>
                <w:sz w:val="16"/>
                <w:szCs w:val="16"/>
                <w:lang w:eastAsia="es-CR"/>
              </w:rPr>
              <w:t xml:space="preserve"> de la </w:t>
            </w:r>
            <w:r w:rsidRPr="00A43D0B">
              <w:rPr>
                <w:rFonts w:ascii="Arial" w:eastAsia="Times New Roman" w:hAnsi="Arial" w:cs="Arial"/>
                <w:b/>
                <w:color w:val="222222"/>
                <w:sz w:val="16"/>
                <w:szCs w:val="16"/>
                <w:lang w:eastAsia="es-CR"/>
              </w:rPr>
              <w:t>Municipalidad de Abangares</w:t>
            </w:r>
          </w:p>
        </w:tc>
      </w:tr>
      <w:tr w:rsidR="00A83E03" w:rsidRPr="00D82C53" w:rsidTr="00BF2E6C">
        <w:trPr>
          <w:gridAfter w:val="1"/>
          <w:wAfter w:w="38" w:type="dxa"/>
          <w:trHeight w:val="144"/>
        </w:trPr>
        <w:tc>
          <w:tcPr>
            <w:tcW w:w="2807" w:type="dxa"/>
            <w:shd w:val="clear" w:color="auto" w:fill="DBE5F1" w:themeFill="accent1" w:themeFillTint="33"/>
            <w:hideMark/>
          </w:tcPr>
          <w:p w:rsidR="00A83E03" w:rsidRPr="00D82C53" w:rsidRDefault="00A83E03" w:rsidP="00BF2E6C">
            <w:pPr>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Conformación del Tribunal</w:t>
            </w:r>
          </w:p>
        </w:tc>
        <w:tc>
          <w:tcPr>
            <w:tcW w:w="6176" w:type="dxa"/>
            <w:hideMark/>
          </w:tcPr>
          <w:p w:rsidR="00A83E03" w:rsidRPr="00D82C53" w:rsidRDefault="00A83E03" w:rsidP="00BF2E6C">
            <w:pPr>
              <w:rPr>
                <w:rFonts w:ascii="Calibri" w:eastAsia="Times New Roman" w:hAnsi="Calibri" w:cs="Times New Roman"/>
                <w:color w:val="222222"/>
                <w:lang w:eastAsia="es-CR"/>
              </w:rPr>
            </w:pPr>
            <w:r>
              <w:rPr>
                <w:rFonts w:ascii="Arial" w:eastAsia="Times New Roman" w:hAnsi="Arial" w:cs="Arial"/>
                <w:color w:val="000000"/>
                <w:sz w:val="16"/>
                <w:szCs w:val="16"/>
                <w:lang w:eastAsia="es-CR"/>
              </w:rPr>
              <w:t>Paul Rueda Leal, Fernando Cruz Castro (voto salvado),</w:t>
            </w:r>
            <w:r w:rsidRPr="00D82C53">
              <w:rPr>
                <w:rFonts w:ascii="Arial" w:eastAsia="Times New Roman" w:hAnsi="Arial" w:cs="Arial"/>
                <w:color w:val="000000"/>
                <w:sz w:val="16"/>
                <w:szCs w:val="16"/>
                <w:lang w:eastAsia="es-CR"/>
              </w:rPr>
              <w:t xml:space="preserve"> Nancy Hernández López, Luis Fernando Salazar Alvarado</w:t>
            </w:r>
            <w:r>
              <w:rPr>
                <w:rFonts w:ascii="Arial" w:eastAsia="Times New Roman" w:hAnsi="Arial" w:cs="Arial"/>
                <w:color w:val="000000"/>
                <w:sz w:val="16"/>
                <w:szCs w:val="16"/>
                <w:lang w:eastAsia="es-CR"/>
              </w:rPr>
              <w:t xml:space="preserve"> (magistrado instructor)</w:t>
            </w:r>
            <w:r w:rsidRPr="00D82C53">
              <w:rPr>
                <w:rFonts w:ascii="Arial" w:eastAsia="Times New Roman" w:hAnsi="Arial" w:cs="Arial"/>
                <w:color w:val="000000"/>
                <w:sz w:val="16"/>
                <w:szCs w:val="16"/>
                <w:lang w:eastAsia="es-CR"/>
              </w:rPr>
              <w:t xml:space="preserve">, Jorge Araya García; y </w:t>
            </w:r>
            <w:r>
              <w:rPr>
                <w:rFonts w:ascii="Arial" w:eastAsia="Times New Roman" w:hAnsi="Arial" w:cs="Arial"/>
                <w:color w:val="000000"/>
                <w:sz w:val="16"/>
                <w:szCs w:val="16"/>
                <w:lang w:eastAsia="es-CR"/>
              </w:rPr>
              <w:t>los suplentes Hubert Fernández y Ana María Picado.</w:t>
            </w:r>
          </w:p>
        </w:tc>
      </w:tr>
      <w:tr w:rsidR="00A83E03" w:rsidTr="00BF2E6C">
        <w:tc>
          <w:tcPr>
            <w:tcW w:w="2802" w:type="dxa"/>
            <w:shd w:val="clear" w:color="auto" w:fill="DBE5F1" w:themeFill="accent1" w:themeFillTint="33"/>
          </w:tcPr>
          <w:p w:rsidR="00A83E03" w:rsidRPr="00D86F97" w:rsidRDefault="00A83E03" w:rsidP="00BF2E6C">
            <w:pPr>
              <w:rPr>
                <w:rFonts w:ascii="Arial" w:eastAsia="Times New Roman" w:hAnsi="Arial" w:cs="Arial"/>
                <w:iCs/>
                <w:color w:val="000000"/>
                <w:sz w:val="16"/>
                <w:szCs w:val="16"/>
                <w:lang w:eastAsia="es-CR"/>
              </w:rPr>
            </w:pPr>
            <w:r w:rsidRPr="00D86F97">
              <w:rPr>
                <w:rFonts w:ascii="Arial" w:eastAsia="Times New Roman" w:hAnsi="Arial" w:cs="Arial"/>
                <w:iCs/>
                <w:color w:val="000000"/>
                <w:sz w:val="16"/>
                <w:szCs w:val="16"/>
                <w:lang w:eastAsia="es-CR"/>
              </w:rPr>
              <w:t>Voto salvado</w:t>
            </w:r>
            <w:r>
              <w:rPr>
                <w:rFonts w:ascii="Arial" w:eastAsia="Times New Roman" w:hAnsi="Arial" w:cs="Arial"/>
                <w:iCs/>
                <w:color w:val="000000"/>
                <w:sz w:val="16"/>
                <w:szCs w:val="16"/>
                <w:lang w:eastAsia="es-CR"/>
              </w:rPr>
              <w:t xml:space="preserve"> del magistrado Fernando Cruz:</w:t>
            </w:r>
          </w:p>
        </w:tc>
        <w:tc>
          <w:tcPr>
            <w:tcW w:w="6214" w:type="dxa"/>
            <w:gridSpan w:val="2"/>
          </w:tcPr>
          <w:p w:rsidR="00A83E03" w:rsidRPr="00D86F97" w:rsidRDefault="00A83E03" w:rsidP="00BF2E6C">
            <w:pPr>
              <w:rPr>
                <w:rFonts w:ascii="Arial" w:eastAsia="Times New Roman" w:hAnsi="Arial" w:cs="Arial"/>
                <w:iCs/>
                <w:color w:val="000000"/>
                <w:sz w:val="16"/>
                <w:szCs w:val="16"/>
                <w:lang w:eastAsia="es-CR"/>
              </w:rPr>
            </w:pPr>
            <w:r>
              <w:rPr>
                <w:rFonts w:ascii="Arial" w:eastAsia="Times New Roman" w:hAnsi="Arial" w:cs="Arial"/>
                <w:iCs/>
                <w:color w:val="000000"/>
                <w:sz w:val="16"/>
                <w:szCs w:val="16"/>
                <w:lang w:eastAsia="es-CR"/>
              </w:rPr>
              <w:t>Considera que superar el pago de cesantía</w:t>
            </w:r>
            <w:r w:rsidRPr="00D86F97">
              <w:rPr>
                <w:rFonts w:ascii="Arial" w:eastAsia="Times New Roman" w:hAnsi="Arial" w:cs="Arial"/>
                <w:iCs/>
                <w:color w:val="000000"/>
                <w:sz w:val="16"/>
                <w:szCs w:val="16"/>
                <w:lang w:eastAsia="es-CR"/>
              </w:rPr>
              <w:t xml:space="preserve"> para </w:t>
            </w:r>
            <w:r>
              <w:rPr>
                <w:rFonts w:ascii="Arial" w:eastAsia="Times New Roman" w:hAnsi="Arial" w:cs="Arial"/>
                <w:iCs/>
                <w:color w:val="000000"/>
                <w:sz w:val="16"/>
                <w:szCs w:val="16"/>
                <w:lang w:eastAsia="es-CR"/>
              </w:rPr>
              <w:t>este tipo de empresas estatales</w:t>
            </w:r>
            <w:r w:rsidRPr="00D86F97">
              <w:rPr>
                <w:rFonts w:ascii="Arial" w:eastAsia="Times New Roman" w:hAnsi="Arial" w:cs="Arial"/>
                <w:iCs/>
                <w:color w:val="000000"/>
                <w:sz w:val="16"/>
                <w:szCs w:val="16"/>
                <w:lang w:eastAsia="es-CR"/>
              </w:rPr>
              <w:t xml:space="preserve"> más allá de los </w:t>
            </w:r>
            <w:r>
              <w:rPr>
                <w:rFonts w:ascii="Arial" w:eastAsia="Times New Roman" w:hAnsi="Arial" w:cs="Arial"/>
                <w:iCs/>
                <w:color w:val="000000"/>
                <w:sz w:val="16"/>
                <w:szCs w:val="16"/>
                <w:lang w:eastAsia="es-CR"/>
              </w:rPr>
              <w:t>12</w:t>
            </w:r>
            <w:r w:rsidRPr="00D86F97">
              <w:rPr>
                <w:rFonts w:ascii="Arial" w:eastAsia="Times New Roman" w:hAnsi="Arial" w:cs="Arial"/>
                <w:iCs/>
                <w:color w:val="000000"/>
                <w:sz w:val="16"/>
                <w:szCs w:val="16"/>
                <w:lang w:eastAsia="es-CR"/>
              </w:rPr>
              <w:t xml:space="preserve"> años, siempre y cuando no sea mayor a los </w:t>
            </w:r>
            <w:r>
              <w:rPr>
                <w:rFonts w:ascii="Arial" w:eastAsia="Times New Roman" w:hAnsi="Arial" w:cs="Arial"/>
                <w:iCs/>
                <w:color w:val="000000"/>
                <w:sz w:val="16"/>
                <w:szCs w:val="16"/>
                <w:lang w:eastAsia="es-CR"/>
              </w:rPr>
              <w:t>20</w:t>
            </w:r>
            <w:r w:rsidRPr="00D86F97">
              <w:rPr>
                <w:rFonts w:ascii="Arial" w:eastAsia="Times New Roman" w:hAnsi="Arial" w:cs="Arial"/>
                <w:iCs/>
                <w:color w:val="000000"/>
                <w:sz w:val="16"/>
                <w:szCs w:val="16"/>
                <w:lang w:eastAsia="es-CR"/>
              </w:rPr>
              <w:t xml:space="preserve"> años, no resulta irrazonable, sino que se justifica, por ejemplo, en mecanismos para que la institución intente retener a sus empleados con mayor experiencia y con ello beneficiar el ejercicio de la función pública.</w:t>
            </w:r>
          </w:p>
        </w:tc>
      </w:tr>
    </w:tbl>
    <w:p w:rsidR="00A83E03" w:rsidRDefault="00A83E03" w:rsidP="00A83E03">
      <w:pPr>
        <w:shd w:val="clear" w:color="auto" w:fill="FFFFFF"/>
        <w:spacing w:line="181" w:lineRule="atLeast"/>
        <w:jc w:val="both"/>
        <w:rPr>
          <w:rFonts w:ascii="Arial" w:eastAsia="Times New Roman" w:hAnsi="Arial" w:cs="Arial"/>
          <w:i/>
          <w:iCs/>
          <w:color w:val="000000"/>
          <w:sz w:val="20"/>
          <w:szCs w:val="20"/>
          <w:u w:val="single"/>
          <w:lang w:eastAsia="es-CR"/>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7"/>
        <w:gridCol w:w="6176"/>
        <w:gridCol w:w="38"/>
      </w:tblGrid>
      <w:tr w:rsidR="00A43D0B" w:rsidRPr="00D82C53" w:rsidTr="00BF2E6C">
        <w:trPr>
          <w:gridAfter w:val="1"/>
          <w:wAfter w:w="38" w:type="dxa"/>
        </w:trPr>
        <w:tc>
          <w:tcPr>
            <w:tcW w:w="2807" w:type="dxa"/>
            <w:shd w:val="clear" w:color="auto" w:fill="DBE5F1" w:themeFill="accent1" w:themeFillTint="33"/>
            <w:hideMark/>
          </w:tcPr>
          <w:p w:rsidR="00A43D0B" w:rsidRPr="00D82C53" w:rsidRDefault="00A43D0B" w:rsidP="00BF2E6C">
            <w:pPr>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Fecha de votación:</w:t>
            </w:r>
          </w:p>
        </w:tc>
        <w:tc>
          <w:tcPr>
            <w:tcW w:w="6176" w:type="dxa"/>
            <w:hideMark/>
          </w:tcPr>
          <w:p w:rsidR="00A43D0B" w:rsidRPr="00D82C53" w:rsidRDefault="00F22651" w:rsidP="00F22651">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11</w:t>
            </w:r>
            <w:r w:rsidR="00A43D0B">
              <w:rPr>
                <w:rFonts w:ascii="Arial" w:eastAsia="Times New Roman" w:hAnsi="Arial" w:cs="Arial"/>
                <w:color w:val="222222"/>
                <w:sz w:val="16"/>
                <w:szCs w:val="16"/>
                <w:lang w:eastAsia="es-CR"/>
              </w:rPr>
              <w:t>:</w:t>
            </w:r>
            <w:r>
              <w:rPr>
                <w:rFonts w:ascii="Arial" w:eastAsia="Times New Roman" w:hAnsi="Arial" w:cs="Arial"/>
                <w:color w:val="222222"/>
                <w:sz w:val="16"/>
                <w:szCs w:val="16"/>
                <w:lang w:eastAsia="es-CR"/>
              </w:rPr>
              <w:t>42</w:t>
            </w:r>
            <w:r w:rsidR="00A43D0B">
              <w:rPr>
                <w:rFonts w:ascii="Arial" w:eastAsia="Times New Roman" w:hAnsi="Arial" w:cs="Arial"/>
                <w:color w:val="222222"/>
                <w:sz w:val="16"/>
                <w:szCs w:val="16"/>
                <w:lang w:eastAsia="es-CR"/>
              </w:rPr>
              <w:t xml:space="preserve"> </w:t>
            </w:r>
            <w:r>
              <w:rPr>
                <w:rFonts w:ascii="Arial" w:eastAsia="Times New Roman" w:hAnsi="Arial" w:cs="Arial"/>
                <w:color w:val="222222"/>
                <w:sz w:val="16"/>
                <w:szCs w:val="16"/>
                <w:lang w:eastAsia="es-CR"/>
              </w:rPr>
              <w:t>a</w:t>
            </w:r>
            <w:r w:rsidR="00A43D0B">
              <w:rPr>
                <w:rFonts w:ascii="Arial" w:eastAsia="Times New Roman" w:hAnsi="Arial" w:cs="Arial"/>
                <w:color w:val="222222"/>
                <w:sz w:val="16"/>
                <w:szCs w:val="16"/>
                <w:lang w:eastAsia="es-CR"/>
              </w:rPr>
              <w:t>.m. del miércoles 22</w:t>
            </w:r>
            <w:r w:rsidR="00A43D0B" w:rsidRPr="00D82C53">
              <w:rPr>
                <w:rFonts w:ascii="Arial" w:eastAsia="Times New Roman" w:hAnsi="Arial" w:cs="Arial"/>
                <w:color w:val="222222"/>
                <w:sz w:val="16"/>
                <w:szCs w:val="16"/>
                <w:lang w:eastAsia="es-CR"/>
              </w:rPr>
              <w:t xml:space="preserve"> de ma</w:t>
            </w:r>
            <w:r w:rsidR="00A43D0B">
              <w:rPr>
                <w:rFonts w:ascii="Arial" w:eastAsia="Times New Roman" w:hAnsi="Arial" w:cs="Arial"/>
                <w:color w:val="222222"/>
                <w:sz w:val="16"/>
                <w:szCs w:val="16"/>
                <w:lang w:eastAsia="es-CR"/>
              </w:rPr>
              <w:t>y</w:t>
            </w:r>
            <w:r w:rsidR="00A43D0B" w:rsidRPr="00D82C53">
              <w:rPr>
                <w:rFonts w:ascii="Arial" w:eastAsia="Times New Roman" w:hAnsi="Arial" w:cs="Arial"/>
                <w:color w:val="222222"/>
                <w:sz w:val="16"/>
                <w:szCs w:val="16"/>
                <w:lang w:eastAsia="es-CR"/>
              </w:rPr>
              <w:t>o, 2019.</w:t>
            </w:r>
          </w:p>
        </w:tc>
      </w:tr>
      <w:tr w:rsidR="00A43D0B" w:rsidRPr="00D82C53" w:rsidTr="00BF2E6C">
        <w:trPr>
          <w:gridAfter w:val="1"/>
          <w:wAfter w:w="38" w:type="dxa"/>
        </w:trPr>
        <w:tc>
          <w:tcPr>
            <w:tcW w:w="2807" w:type="dxa"/>
            <w:shd w:val="clear" w:color="auto" w:fill="DBE5F1" w:themeFill="accent1" w:themeFillTint="33"/>
            <w:hideMark/>
          </w:tcPr>
          <w:p w:rsidR="00A43D0B" w:rsidRPr="00A43D0B" w:rsidRDefault="00A43D0B" w:rsidP="00BF2E6C">
            <w:pPr>
              <w:rPr>
                <w:rFonts w:ascii="Calibri" w:eastAsia="Times New Roman" w:hAnsi="Calibri" w:cs="Times New Roman"/>
                <w:b/>
                <w:color w:val="222222"/>
                <w:lang w:eastAsia="es-CR"/>
              </w:rPr>
            </w:pPr>
            <w:r w:rsidRPr="00A43D0B">
              <w:rPr>
                <w:rFonts w:ascii="Arial" w:eastAsia="Times New Roman" w:hAnsi="Arial" w:cs="Arial"/>
                <w:b/>
                <w:color w:val="222222"/>
                <w:sz w:val="16"/>
                <w:szCs w:val="16"/>
                <w:lang w:eastAsia="es-CR"/>
              </w:rPr>
              <w:t>Número de fallo:</w:t>
            </w:r>
          </w:p>
        </w:tc>
        <w:tc>
          <w:tcPr>
            <w:tcW w:w="6176" w:type="dxa"/>
            <w:hideMark/>
          </w:tcPr>
          <w:p w:rsidR="00A43D0B" w:rsidRPr="00A43D0B" w:rsidRDefault="00A43D0B" w:rsidP="00F22651">
            <w:pPr>
              <w:rPr>
                <w:rFonts w:ascii="Calibri" w:eastAsia="Times New Roman" w:hAnsi="Calibri" w:cs="Times New Roman"/>
                <w:b/>
                <w:color w:val="222222"/>
                <w:lang w:eastAsia="es-CR"/>
              </w:rPr>
            </w:pPr>
            <w:r w:rsidRPr="00A43D0B">
              <w:rPr>
                <w:rFonts w:ascii="Arial" w:eastAsia="Times New Roman" w:hAnsi="Arial" w:cs="Arial"/>
                <w:b/>
                <w:color w:val="222222"/>
                <w:sz w:val="16"/>
                <w:szCs w:val="16"/>
                <w:lang w:eastAsia="es-CR"/>
              </w:rPr>
              <w:t>2019-00</w:t>
            </w:r>
            <w:r w:rsidR="00F22651">
              <w:rPr>
                <w:rFonts w:ascii="Arial" w:eastAsia="Times New Roman" w:hAnsi="Arial" w:cs="Arial"/>
                <w:b/>
                <w:color w:val="222222"/>
                <w:sz w:val="16"/>
                <w:szCs w:val="16"/>
                <w:lang w:eastAsia="es-CR"/>
              </w:rPr>
              <w:t>9222</w:t>
            </w:r>
          </w:p>
        </w:tc>
      </w:tr>
      <w:tr w:rsidR="00A43D0B" w:rsidRPr="00D82C53" w:rsidTr="00BF2E6C">
        <w:trPr>
          <w:gridAfter w:val="1"/>
          <w:wAfter w:w="38" w:type="dxa"/>
          <w:trHeight w:val="58"/>
        </w:trPr>
        <w:tc>
          <w:tcPr>
            <w:tcW w:w="2807" w:type="dxa"/>
            <w:shd w:val="clear" w:color="auto" w:fill="DBE5F1" w:themeFill="accent1" w:themeFillTint="33"/>
            <w:hideMark/>
          </w:tcPr>
          <w:p w:rsidR="00A43D0B" w:rsidRPr="00D82C53" w:rsidRDefault="00A43D0B"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Fecha de presentación de la acción</w:t>
            </w:r>
            <w:r w:rsidRPr="00D82C53">
              <w:rPr>
                <w:rFonts w:ascii="Arial" w:eastAsia="Times New Roman" w:hAnsi="Arial" w:cs="Arial"/>
                <w:color w:val="222222"/>
                <w:sz w:val="16"/>
                <w:szCs w:val="16"/>
                <w:lang w:eastAsia="es-CR"/>
              </w:rPr>
              <w:t>:</w:t>
            </w:r>
          </w:p>
        </w:tc>
        <w:tc>
          <w:tcPr>
            <w:tcW w:w="6176" w:type="dxa"/>
            <w:hideMark/>
          </w:tcPr>
          <w:p w:rsidR="00A43D0B" w:rsidRPr="00D82C53" w:rsidRDefault="00A43D0B"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8 de octubre</w:t>
            </w:r>
            <w:r w:rsidRPr="00D82C53">
              <w:rPr>
                <w:rFonts w:ascii="Arial" w:eastAsia="Times New Roman" w:hAnsi="Arial" w:cs="Arial"/>
                <w:color w:val="222222"/>
                <w:sz w:val="16"/>
                <w:szCs w:val="16"/>
                <w:lang w:eastAsia="es-CR"/>
              </w:rPr>
              <w:t>, 201</w:t>
            </w:r>
            <w:r>
              <w:rPr>
                <w:rFonts w:ascii="Arial" w:eastAsia="Times New Roman" w:hAnsi="Arial" w:cs="Arial"/>
                <w:color w:val="222222"/>
                <w:sz w:val="16"/>
                <w:szCs w:val="16"/>
                <w:lang w:eastAsia="es-CR"/>
              </w:rPr>
              <w:t>8</w:t>
            </w:r>
            <w:r w:rsidRPr="00D82C53">
              <w:rPr>
                <w:rFonts w:ascii="Arial" w:eastAsia="Times New Roman" w:hAnsi="Arial" w:cs="Arial"/>
                <w:color w:val="222222"/>
                <w:sz w:val="16"/>
                <w:szCs w:val="16"/>
                <w:lang w:eastAsia="es-CR"/>
              </w:rPr>
              <w:t>.</w:t>
            </w:r>
          </w:p>
        </w:tc>
      </w:tr>
      <w:tr w:rsidR="00A43D0B" w:rsidRPr="00D82C53" w:rsidTr="00BF2E6C">
        <w:trPr>
          <w:gridAfter w:val="1"/>
          <w:wAfter w:w="38" w:type="dxa"/>
        </w:trPr>
        <w:tc>
          <w:tcPr>
            <w:tcW w:w="2807" w:type="dxa"/>
            <w:shd w:val="clear" w:color="auto" w:fill="DBE5F1" w:themeFill="accent1" w:themeFillTint="33"/>
            <w:hideMark/>
          </w:tcPr>
          <w:p w:rsidR="00A43D0B" w:rsidRPr="00D82C53" w:rsidRDefault="00A43D0B"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Normas impugnadas</w:t>
            </w:r>
            <w:r w:rsidRPr="00D82C53">
              <w:rPr>
                <w:rFonts w:ascii="Arial" w:eastAsia="Times New Roman" w:hAnsi="Arial" w:cs="Arial"/>
                <w:color w:val="222222"/>
                <w:sz w:val="16"/>
                <w:szCs w:val="16"/>
                <w:lang w:eastAsia="es-CR"/>
              </w:rPr>
              <w:t>:</w:t>
            </w:r>
          </w:p>
        </w:tc>
        <w:tc>
          <w:tcPr>
            <w:tcW w:w="6176" w:type="dxa"/>
            <w:hideMark/>
          </w:tcPr>
          <w:p w:rsidR="00A43D0B" w:rsidRPr="00D82C53" w:rsidRDefault="00A43D0B" w:rsidP="00A43D0B">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 xml:space="preserve">Artículo 22 </w:t>
            </w:r>
            <w:r w:rsidR="00F22651">
              <w:rPr>
                <w:rFonts w:ascii="Arial" w:eastAsia="Times New Roman" w:hAnsi="Arial" w:cs="Arial"/>
                <w:color w:val="222222"/>
                <w:sz w:val="16"/>
                <w:szCs w:val="16"/>
                <w:lang w:eastAsia="es-CR"/>
              </w:rPr>
              <w:t>de la Convención C</w:t>
            </w:r>
            <w:r w:rsidR="00F22651" w:rsidRPr="00587AEE">
              <w:rPr>
                <w:rFonts w:ascii="Arial" w:eastAsia="Times New Roman" w:hAnsi="Arial" w:cs="Arial"/>
                <w:color w:val="222222"/>
                <w:sz w:val="16"/>
                <w:szCs w:val="16"/>
                <w:lang w:eastAsia="es-CR"/>
              </w:rPr>
              <w:t>olectiva</w:t>
            </w:r>
            <w:r w:rsidR="00F22651">
              <w:rPr>
                <w:rFonts w:ascii="Arial" w:eastAsia="Times New Roman" w:hAnsi="Arial" w:cs="Arial"/>
                <w:color w:val="222222"/>
                <w:sz w:val="16"/>
                <w:szCs w:val="16"/>
                <w:lang w:eastAsia="es-CR"/>
              </w:rPr>
              <w:t xml:space="preserve"> de Trabajo</w:t>
            </w:r>
            <w:r w:rsidR="00F22651" w:rsidRPr="00587AEE">
              <w:rPr>
                <w:rFonts w:ascii="Arial" w:eastAsia="Times New Roman" w:hAnsi="Arial" w:cs="Arial"/>
                <w:color w:val="222222"/>
                <w:sz w:val="16"/>
                <w:szCs w:val="16"/>
                <w:lang w:eastAsia="es-CR"/>
              </w:rPr>
              <w:t xml:space="preserve"> </w:t>
            </w:r>
            <w:r w:rsidRPr="00587AEE">
              <w:rPr>
                <w:rFonts w:ascii="Arial" w:eastAsia="Times New Roman" w:hAnsi="Arial" w:cs="Arial"/>
                <w:color w:val="222222"/>
                <w:sz w:val="16"/>
                <w:szCs w:val="16"/>
                <w:lang w:eastAsia="es-CR"/>
              </w:rPr>
              <w:t xml:space="preserve">de la </w:t>
            </w:r>
            <w:r w:rsidRPr="00A43D0B">
              <w:rPr>
                <w:rFonts w:ascii="Arial" w:eastAsia="Times New Roman" w:hAnsi="Arial" w:cs="Arial"/>
                <w:b/>
                <w:color w:val="222222"/>
                <w:sz w:val="16"/>
                <w:szCs w:val="16"/>
                <w:lang w:eastAsia="es-CR"/>
              </w:rPr>
              <w:t xml:space="preserve">Municipalidad de </w:t>
            </w:r>
            <w:r>
              <w:rPr>
                <w:rFonts w:ascii="Arial" w:eastAsia="Times New Roman" w:hAnsi="Arial" w:cs="Arial"/>
                <w:b/>
                <w:color w:val="222222"/>
                <w:sz w:val="16"/>
                <w:szCs w:val="16"/>
                <w:lang w:eastAsia="es-CR"/>
              </w:rPr>
              <w:t>Carrillo</w:t>
            </w:r>
          </w:p>
        </w:tc>
      </w:tr>
      <w:tr w:rsidR="00A43D0B" w:rsidRPr="00D82C53" w:rsidTr="00BF2E6C">
        <w:trPr>
          <w:gridAfter w:val="1"/>
          <w:wAfter w:w="38" w:type="dxa"/>
          <w:trHeight w:val="144"/>
        </w:trPr>
        <w:tc>
          <w:tcPr>
            <w:tcW w:w="2807" w:type="dxa"/>
            <w:shd w:val="clear" w:color="auto" w:fill="DBE5F1" w:themeFill="accent1" w:themeFillTint="33"/>
            <w:hideMark/>
          </w:tcPr>
          <w:p w:rsidR="00A43D0B" w:rsidRPr="00D82C53" w:rsidRDefault="00A43D0B" w:rsidP="00BF2E6C">
            <w:pPr>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Conformación del Tribunal</w:t>
            </w:r>
          </w:p>
        </w:tc>
        <w:tc>
          <w:tcPr>
            <w:tcW w:w="6176" w:type="dxa"/>
            <w:hideMark/>
          </w:tcPr>
          <w:p w:rsidR="00A43D0B" w:rsidRPr="00D82C53" w:rsidRDefault="00A43D0B" w:rsidP="00F22651">
            <w:pPr>
              <w:rPr>
                <w:rFonts w:ascii="Calibri" w:eastAsia="Times New Roman" w:hAnsi="Calibri" w:cs="Times New Roman"/>
                <w:color w:val="222222"/>
                <w:lang w:eastAsia="es-CR"/>
              </w:rPr>
            </w:pPr>
            <w:r>
              <w:rPr>
                <w:rFonts w:ascii="Arial" w:eastAsia="Times New Roman" w:hAnsi="Arial" w:cs="Arial"/>
                <w:color w:val="000000"/>
                <w:sz w:val="16"/>
                <w:szCs w:val="16"/>
                <w:lang w:eastAsia="es-CR"/>
              </w:rPr>
              <w:t>Fernando Castillo Víquez, Fernando Cruz Castro (voto salvado),</w:t>
            </w:r>
            <w:r w:rsidRPr="00D82C53">
              <w:rPr>
                <w:rFonts w:ascii="Arial" w:eastAsia="Times New Roman" w:hAnsi="Arial" w:cs="Arial"/>
                <w:color w:val="000000"/>
                <w:sz w:val="16"/>
                <w:szCs w:val="16"/>
                <w:lang w:eastAsia="es-CR"/>
              </w:rPr>
              <w:t xml:space="preserve"> Nancy Hernández López, Luis Fernando Salazar Alvarado</w:t>
            </w:r>
            <w:r>
              <w:rPr>
                <w:rFonts w:ascii="Arial" w:eastAsia="Times New Roman" w:hAnsi="Arial" w:cs="Arial"/>
                <w:color w:val="000000"/>
                <w:sz w:val="16"/>
                <w:szCs w:val="16"/>
                <w:lang w:eastAsia="es-CR"/>
              </w:rPr>
              <w:t xml:space="preserve"> (magistrado instructor)</w:t>
            </w:r>
            <w:r w:rsidRPr="00D82C53">
              <w:rPr>
                <w:rFonts w:ascii="Arial" w:eastAsia="Times New Roman" w:hAnsi="Arial" w:cs="Arial"/>
                <w:color w:val="000000"/>
                <w:sz w:val="16"/>
                <w:szCs w:val="16"/>
                <w:lang w:eastAsia="es-CR"/>
              </w:rPr>
              <w:t xml:space="preserve">, Jorge Araya García; y </w:t>
            </w:r>
            <w:r>
              <w:rPr>
                <w:rFonts w:ascii="Arial" w:eastAsia="Times New Roman" w:hAnsi="Arial" w:cs="Arial"/>
                <w:color w:val="000000"/>
                <w:sz w:val="16"/>
                <w:szCs w:val="16"/>
                <w:lang w:eastAsia="es-CR"/>
              </w:rPr>
              <w:t>l</w:t>
            </w:r>
            <w:r w:rsidR="00F22651">
              <w:rPr>
                <w:rFonts w:ascii="Arial" w:eastAsia="Times New Roman" w:hAnsi="Arial" w:cs="Arial"/>
                <w:color w:val="000000"/>
                <w:sz w:val="16"/>
                <w:szCs w:val="16"/>
                <w:lang w:eastAsia="es-CR"/>
              </w:rPr>
              <w:t>a</w:t>
            </w:r>
            <w:r>
              <w:rPr>
                <w:rFonts w:ascii="Arial" w:eastAsia="Times New Roman" w:hAnsi="Arial" w:cs="Arial"/>
                <w:color w:val="000000"/>
                <w:sz w:val="16"/>
                <w:szCs w:val="16"/>
                <w:lang w:eastAsia="es-CR"/>
              </w:rPr>
              <w:t>s suplentes Marta Esquivel y Ana María Picado.</w:t>
            </w:r>
          </w:p>
        </w:tc>
      </w:tr>
      <w:tr w:rsidR="00A43D0B" w:rsidRPr="00D86F97" w:rsidTr="00BF2E6C">
        <w:tc>
          <w:tcPr>
            <w:tcW w:w="2802" w:type="dxa"/>
            <w:shd w:val="clear" w:color="auto" w:fill="DBE5F1" w:themeFill="accent1" w:themeFillTint="33"/>
          </w:tcPr>
          <w:p w:rsidR="00A43D0B" w:rsidRPr="00D86F97" w:rsidRDefault="00A43D0B" w:rsidP="00BF2E6C">
            <w:pPr>
              <w:rPr>
                <w:rFonts w:ascii="Arial" w:eastAsia="Times New Roman" w:hAnsi="Arial" w:cs="Arial"/>
                <w:iCs/>
                <w:color w:val="000000"/>
                <w:sz w:val="16"/>
                <w:szCs w:val="16"/>
                <w:lang w:eastAsia="es-CR"/>
              </w:rPr>
            </w:pPr>
            <w:r w:rsidRPr="00D86F97">
              <w:rPr>
                <w:rFonts w:ascii="Arial" w:eastAsia="Times New Roman" w:hAnsi="Arial" w:cs="Arial"/>
                <w:iCs/>
                <w:color w:val="000000"/>
                <w:sz w:val="16"/>
                <w:szCs w:val="16"/>
                <w:lang w:eastAsia="es-CR"/>
              </w:rPr>
              <w:t>Voto salvado</w:t>
            </w:r>
            <w:r>
              <w:rPr>
                <w:rFonts w:ascii="Arial" w:eastAsia="Times New Roman" w:hAnsi="Arial" w:cs="Arial"/>
                <w:iCs/>
                <w:color w:val="000000"/>
                <w:sz w:val="16"/>
                <w:szCs w:val="16"/>
                <w:lang w:eastAsia="es-CR"/>
              </w:rPr>
              <w:t xml:space="preserve"> del magistrado Fernando Cruz:</w:t>
            </w:r>
          </w:p>
        </w:tc>
        <w:tc>
          <w:tcPr>
            <w:tcW w:w="6214" w:type="dxa"/>
            <w:gridSpan w:val="2"/>
          </w:tcPr>
          <w:p w:rsidR="00A43D0B" w:rsidRPr="00D86F97" w:rsidRDefault="00A43D0B" w:rsidP="00BF2E6C">
            <w:pPr>
              <w:rPr>
                <w:rFonts w:ascii="Arial" w:eastAsia="Times New Roman" w:hAnsi="Arial" w:cs="Arial"/>
                <w:iCs/>
                <w:color w:val="000000"/>
                <w:sz w:val="16"/>
                <w:szCs w:val="16"/>
                <w:lang w:eastAsia="es-CR"/>
              </w:rPr>
            </w:pPr>
            <w:r>
              <w:rPr>
                <w:rFonts w:ascii="Arial" w:eastAsia="Times New Roman" w:hAnsi="Arial" w:cs="Arial"/>
                <w:iCs/>
                <w:color w:val="000000"/>
                <w:sz w:val="16"/>
                <w:szCs w:val="16"/>
                <w:lang w:eastAsia="es-CR"/>
              </w:rPr>
              <w:t>Considera que superar el pago de cesantía</w:t>
            </w:r>
            <w:r w:rsidRPr="00D86F97">
              <w:rPr>
                <w:rFonts w:ascii="Arial" w:eastAsia="Times New Roman" w:hAnsi="Arial" w:cs="Arial"/>
                <w:iCs/>
                <w:color w:val="000000"/>
                <w:sz w:val="16"/>
                <w:szCs w:val="16"/>
                <w:lang w:eastAsia="es-CR"/>
              </w:rPr>
              <w:t xml:space="preserve"> para </w:t>
            </w:r>
            <w:r>
              <w:rPr>
                <w:rFonts w:ascii="Arial" w:eastAsia="Times New Roman" w:hAnsi="Arial" w:cs="Arial"/>
                <w:iCs/>
                <w:color w:val="000000"/>
                <w:sz w:val="16"/>
                <w:szCs w:val="16"/>
                <w:lang w:eastAsia="es-CR"/>
              </w:rPr>
              <w:t>este tipo de empresas estatales</w:t>
            </w:r>
            <w:r w:rsidRPr="00D86F97">
              <w:rPr>
                <w:rFonts w:ascii="Arial" w:eastAsia="Times New Roman" w:hAnsi="Arial" w:cs="Arial"/>
                <w:iCs/>
                <w:color w:val="000000"/>
                <w:sz w:val="16"/>
                <w:szCs w:val="16"/>
                <w:lang w:eastAsia="es-CR"/>
              </w:rPr>
              <w:t xml:space="preserve"> más allá de los </w:t>
            </w:r>
            <w:r>
              <w:rPr>
                <w:rFonts w:ascii="Arial" w:eastAsia="Times New Roman" w:hAnsi="Arial" w:cs="Arial"/>
                <w:iCs/>
                <w:color w:val="000000"/>
                <w:sz w:val="16"/>
                <w:szCs w:val="16"/>
                <w:lang w:eastAsia="es-CR"/>
              </w:rPr>
              <w:t>12</w:t>
            </w:r>
            <w:r w:rsidRPr="00D86F97">
              <w:rPr>
                <w:rFonts w:ascii="Arial" w:eastAsia="Times New Roman" w:hAnsi="Arial" w:cs="Arial"/>
                <w:iCs/>
                <w:color w:val="000000"/>
                <w:sz w:val="16"/>
                <w:szCs w:val="16"/>
                <w:lang w:eastAsia="es-CR"/>
              </w:rPr>
              <w:t xml:space="preserve"> años, siempre y cuando no sea mayor a los </w:t>
            </w:r>
            <w:r>
              <w:rPr>
                <w:rFonts w:ascii="Arial" w:eastAsia="Times New Roman" w:hAnsi="Arial" w:cs="Arial"/>
                <w:iCs/>
                <w:color w:val="000000"/>
                <w:sz w:val="16"/>
                <w:szCs w:val="16"/>
                <w:lang w:eastAsia="es-CR"/>
              </w:rPr>
              <w:t>20</w:t>
            </w:r>
            <w:r w:rsidRPr="00D86F97">
              <w:rPr>
                <w:rFonts w:ascii="Arial" w:eastAsia="Times New Roman" w:hAnsi="Arial" w:cs="Arial"/>
                <w:iCs/>
                <w:color w:val="000000"/>
                <w:sz w:val="16"/>
                <w:szCs w:val="16"/>
                <w:lang w:eastAsia="es-CR"/>
              </w:rPr>
              <w:t xml:space="preserve"> años, no resulta irrazonable, sino que se justifica, por ejemplo, en mecanismos para que la institución intente retener a sus empleados con mayor experiencia y con ello beneficiar el ejercicio de la función pública.</w:t>
            </w:r>
          </w:p>
        </w:tc>
      </w:tr>
    </w:tbl>
    <w:p w:rsidR="00A43D0B" w:rsidRDefault="00A43D0B" w:rsidP="00A83E03">
      <w:pPr>
        <w:shd w:val="clear" w:color="auto" w:fill="FFFFFF"/>
        <w:spacing w:line="181" w:lineRule="atLeast"/>
        <w:jc w:val="both"/>
        <w:rPr>
          <w:rFonts w:ascii="Arial" w:eastAsia="Times New Roman" w:hAnsi="Arial" w:cs="Arial"/>
          <w:i/>
          <w:iCs/>
          <w:color w:val="000000"/>
          <w:sz w:val="20"/>
          <w:szCs w:val="20"/>
          <w:u w:val="single"/>
          <w:lang w:eastAsia="es-CR"/>
        </w:rPr>
      </w:pPr>
    </w:p>
    <w:p w:rsidR="00A43D0B" w:rsidRPr="00E91933" w:rsidRDefault="00A43D0B" w:rsidP="00A83E03">
      <w:pPr>
        <w:shd w:val="clear" w:color="auto" w:fill="FFFFFF"/>
        <w:spacing w:line="181" w:lineRule="atLeast"/>
        <w:jc w:val="both"/>
        <w:rPr>
          <w:rFonts w:ascii="Arial" w:eastAsia="Times New Roman" w:hAnsi="Arial" w:cs="Arial"/>
          <w:i/>
          <w:iCs/>
          <w:color w:val="000000"/>
          <w:sz w:val="20"/>
          <w:szCs w:val="20"/>
          <w:u w:val="single"/>
          <w:lang w:eastAsia="es-CR"/>
        </w:rPr>
      </w:pPr>
    </w:p>
    <w:p w:rsidR="009E2DE3" w:rsidRPr="00287AB9" w:rsidRDefault="00A83E03" w:rsidP="00287AB9">
      <w:pPr>
        <w:shd w:val="clear" w:color="auto" w:fill="FFFFFF"/>
        <w:spacing w:line="181" w:lineRule="atLeast"/>
        <w:jc w:val="both"/>
        <w:rPr>
          <w:rFonts w:ascii="Calibri" w:eastAsia="Times New Roman" w:hAnsi="Calibri" w:cs="Times New Roman"/>
          <w:color w:val="222222"/>
          <w:sz w:val="20"/>
          <w:szCs w:val="20"/>
          <w:lang w:eastAsia="es-CR"/>
        </w:rPr>
      </w:pPr>
      <w:r w:rsidRPr="00E91933">
        <w:rPr>
          <w:rFonts w:ascii="Arial" w:eastAsia="Times New Roman" w:hAnsi="Arial" w:cs="Arial"/>
          <w:i/>
          <w:iCs/>
          <w:color w:val="000000"/>
          <w:sz w:val="20"/>
          <w:szCs w:val="20"/>
          <w:u w:val="single"/>
          <w:lang w:eastAsia="es-CR"/>
        </w:rPr>
        <w:t>Sala Constitucional garante de la dignidad, derechos y libertad de las personas</w:t>
      </w:r>
    </w:p>
    <w:sectPr w:rsidR="009E2DE3" w:rsidRPr="00287AB9" w:rsidSect="00C57078">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ECF" w:rsidRDefault="007F2ECF" w:rsidP="00086E43">
      <w:pPr>
        <w:spacing w:after="0" w:line="240" w:lineRule="auto"/>
      </w:pPr>
      <w:r>
        <w:separator/>
      </w:r>
    </w:p>
  </w:endnote>
  <w:endnote w:type="continuationSeparator" w:id="0">
    <w:p w:rsidR="007F2ECF" w:rsidRDefault="007F2ECF" w:rsidP="00086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ECF" w:rsidRDefault="007F2ECF" w:rsidP="00086E43">
      <w:pPr>
        <w:spacing w:after="0" w:line="240" w:lineRule="auto"/>
      </w:pPr>
      <w:r>
        <w:separator/>
      </w:r>
    </w:p>
  </w:footnote>
  <w:footnote w:type="continuationSeparator" w:id="0">
    <w:p w:rsidR="007F2ECF" w:rsidRDefault="007F2ECF" w:rsidP="00086E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939791"/>
      <w:docPartObj>
        <w:docPartGallery w:val="Page Numbers (Top of Page)"/>
        <w:docPartUnique/>
      </w:docPartObj>
    </w:sdtPr>
    <w:sdtContent>
      <w:p w:rsidR="00086E43" w:rsidRDefault="00086E43">
        <w:pPr>
          <w:pStyle w:val="Encabezado"/>
          <w:jc w:val="right"/>
        </w:pPr>
        <w:fldSimple w:instr=" PAGE   \* MERGEFORMAT ">
          <w:r w:rsidR="00216F8C">
            <w:rPr>
              <w:noProof/>
            </w:rPr>
            <w:t>1</w:t>
          </w:r>
        </w:fldSimple>
      </w:p>
    </w:sdtContent>
  </w:sdt>
  <w:p w:rsidR="00086E43" w:rsidRDefault="00086E4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26A82"/>
    <w:multiLevelType w:val="hybridMultilevel"/>
    <w:tmpl w:val="2B304A2A"/>
    <w:lvl w:ilvl="0" w:tplc="8A428476">
      <w:start w:val="4"/>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A83E03"/>
    <w:rsid w:val="00086E43"/>
    <w:rsid w:val="00153567"/>
    <w:rsid w:val="0020787E"/>
    <w:rsid w:val="00216F8C"/>
    <w:rsid w:val="00287AB9"/>
    <w:rsid w:val="002E37FF"/>
    <w:rsid w:val="00340E26"/>
    <w:rsid w:val="00417C56"/>
    <w:rsid w:val="007F2ECF"/>
    <w:rsid w:val="008555E3"/>
    <w:rsid w:val="00895BB1"/>
    <w:rsid w:val="009C09E4"/>
    <w:rsid w:val="00A43D0B"/>
    <w:rsid w:val="00A83E03"/>
    <w:rsid w:val="00C57FC0"/>
    <w:rsid w:val="00D32B75"/>
    <w:rsid w:val="00DA144A"/>
    <w:rsid w:val="00DF6FB4"/>
    <w:rsid w:val="00E11751"/>
    <w:rsid w:val="00E63BB2"/>
    <w:rsid w:val="00EF0DA7"/>
    <w:rsid w:val="00F22651"/>
    <w:rsid w:val="00F8249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3E03"/>
    <w:pPr>
      <w:ind w:left="720"/>
      <w:contextualSpacing/>
    </w:pPr>
  </w:style>
  <w:style w:type="paragraph" w:styleId="NormalWeb">
    <w:name w:val="Normal (Web)"/>
    <w:basedOn w:val="Normal"/>
    <w:uiPriority w:val="99"/>
    <w:semiHidden/>
    <w:unhideWhenUsed/>
    <w:rsid w:val="00A83E03"/>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39"/>
    <w:rsid w:val="00A83E03"/>
    <w:pPr>
      <w:spacing w:after="0" w:line="240" w:lineRule="auto"/>
    </w:pPr>
    <w:rPr>
      <w:sz w:val="24"/>
      <w:szCs w:val="24"/>
      <w:lang w:val="es-ES_trad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3E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E03"/>
    <w:rPr>
      <w:rFonts w:ascii="Tahoma" w:hAnsi="Tahoma" w:cs="Tahoma"/>
      <w:sz w:val="16"/>
      <w:szCs w:val="16"/>
    </w:rPr>
  </w:style>
  <w:style w:type="paragraph" w:styleId="Encabezado">
    <w:name w:val="header"/>
    <w:basedOn w:val="Normal"/>
    <w:link w:val="EncabezadoCar"/>
    <w:uiPriority w:val="99"/>
    <w:unhideWhenUsed/>
    <w:rsid w:val="00086E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E43"/>
  </w:style>
  <w:style w:type="paragraph" w:styleId="Piedepgina">
    <w:name w:val="footer"/>
    <w:basedOn w:val="Normal"/>
    <w:link w:val="PiedepginaCar"/>
    <w:uiPriority w:val="99"/>
    <w:semiHidden/>
    <w:unhideWhenUsed/>
    <w:rsid w:val="00086E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86E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815</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5</cp:revision>
  <cp:lastPrinted>2019-05-22T20:29:00Z</cp:lastPrinted>
  <dcterms:created xsi:type="dcterms:W3CDTF">2019-05-22T20:28:00Z</dcterms:created>
  <dcterms:modified xsi:type="dcterms:W3CDTF">2019-05-22T21:03:00Z</dcterms:modified>
</cp:coreProperties>
</file>