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C53" w:rsidRDefault="00D82C53" w:rsidP="00D82C53">
      <w:pPr>
        <w:jc w:val="both"/>
        <w:rPr>
          <w:b/>
        </w:rPr>
      </w:pPr>
      <w:r w:rsidRPr="00CF4053">
        <w:rPr>
          <w:b/>
          <w:noProof/>
          <w:lang w:eastAsia="es-CR"/>
        </w:rPr>
        <w:drawing>
          <wp:inline distT="0" distB="0" distL="0" distR="0">
            <wp:extent cx="5013740" cy="1272845"/>
            <wp:effectExtent l="19050" t="0" r="0" b="0"/>
            <wp:docPr id="1" name="Imagen 1" descr="C:\Users\amatab\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tab\Desktop\image001.jpg"/>
                    <pic:cNvPicPr>
                      <a:picLocks noChangeAspect="1" noChangeArrowheads="1"/>
                    </pic:cNvPicPr>
                  </pic:nvPicPr>
                  <pic:blipFill>
                    <a:blip r:embed="rId7"/>
                    <a:srcRect/>
                    <a:stretch>
                      <a:fillRect/>
                    </a:stretch>
                  </pic:blipFill>
                  <pic:spPr bwMode="auto">
                    <a:xfrm>
                      <a:off x="0" y="0"/>
                      <a:ext cx="5012847" cy="1272618"/>
                    </a:xfrm>
                    <a:prstGeom prst="rect">
                      <a:avLst/>
                    </a:prstGeom>
                    <a:noFill/>
                    <a:ln w="9525">
                      <a:noFill/>
                      <a:miter lim="800000"/>
                      <a:headEnd/>
                      <a:tailEnd/>
                    </a:ln>
                  </pic:spPr>
                </pic:pic>
              </a:graphicData>
            </a:graphic>
          </wp:inline>
        </w:drawing>
      </w:r>
    </w:p>
    <w:p w:rsidR="00D82C53" w:rsidRDefault="00D82C53" w:rsidP="00D82C53">
      <w:pPr>
        <w:pStyle w:val="NormalWeb"/>
        <w:shd w:val="clear" w:color="auto" w:fill="FFFFFF"/>
        <w:spacing w:before="0" w:beforeAutospacing="0" w:after="0" w:afterAutospacing="0"/>
        <w:jc w:val="right"/>
        <w:rPr>
          <w:rFonts w:ascii="Calibri" w:hAnsi="Calibri"/>
          <w:color w:val="000000"/>
          <w:sz w:val="18"/>
          <w:szCs w:val="18"/>
        </w:rPr>
      </w:pPr>
      <w:r>
        <w:rPr>
          <w:rFonts w:ascii="Calibri" w:hAnsi="Calibri"/>
          <w:color w:val="000000"/>
          <w:sz w:val="28"/>
          <w:szCs w:val="28"/>
          <w:lang w:val="es-ES"/>
        </w:rPr>
        <w:t>SC-CP-150319</w:t>
      </w:r>
    </w:p>
    <w:p w:rsidR="00D82C53" w:rsidRDefault="00D82C53" w:rsidP="00D82C53">
      <w:pPr>
        <w:pStyle w:val="NormalWeb"/>
        <w:shd w:val="clear" w:color="auto" w:fill="FFFFFF"/>
        <w:spacing w:before="0" w:beforeAutospacing="0" w:after="0" w:afterAutospacing="0"/>
        <w:jc w:val="right"/>
        <w:rPr>
          <w:rFonts w:ascii="Calibri" w:hAnsi="Calibri"/>
          <w:color w:val="000000"/>
          <w:sz w:val="28"/>
          <w:szCs w:val="28"/>
          <w:lang w:val="es-ES"/>
        </w:rPr>
      </w:pPr>
      <w:r>
        <w:rPr>
          <w:rFonts w:ascii="Calibri" w:hAnsi="Calibri"/>
          <w:color w:val="000000"/>
          <w:sz w:val="28"/>
          <w:szCs w:val="28"/>
          <w:lang w:val="es-ES"/>
        </w:rPr>
        <w:t>San José, 15 de marzo de 2019</w:t>
      </w:r>
      <w:bookmarkStart w:id="0" w:name="_GoBack"/>
      <w:bookmarkEnd w:id="0"/>
    </w:p>
    <w:p w:rsidR="00D82C53" w:rsidRPr="00CA6E07" w:rsidRDefault="00D82C53" w:rsidP="00D82C53">
      <w:pPr>
        <w:pStyle w:val="NormalWeb"/>
        <w:shd w:val="clear" w:color="auto" w:fill="FFFFFF"/>
        <w:spacing w:before="0" w:beforeAutospacing="0" w:after="0" w:afterAutospacing="0"/>
        <w:jc w:val="center"/>
        <w:rPr>
          <w:rFonts w:ascii="Calibri" w:hAnsi="Calibri"/>
          <w:color w:val="000000"/>
          <w:sz w:val="18"/>
          <w:szCs w:val="18"/>
        </w:rPr>
      </w:pPr>
    </w:p>
    <w:p w:rsidR="00D82C53" w:rsidRPr="00691AA3" w:rsidRDefault="00D82C53" w:rsidP="00D82C53">
      <w:pPr>
        <w:spacing w:line="240" w:lineRule="auto"/>
        <w:jc w:val="center"/>
        <w:rPr>
          <w:rFonts w:ascii="Arial" w:hAnsi="Arial" w:cs="Arial"/>
          <w:b/>
          <w:sz w:val="28"/>
          <w:szCs w:val="28"/>
        </w:rPr>
      </w:pPr>
      <w:r w:rsidRPr="006D6A9C">
        <w:rPr>
          <w:rFonts w:ascii="Arial" w:hAnsi="Arial" w:cs="Arial"/>
          <w:b/>
          <w:sz w:val="28"/>
          <w:szCs w:val="28"/>
        </w:rPr>
        <w:t>COMUNICADO DE PRENSA</w:t>
      </w:r>
    </w:p>
    <w:p w:rsidR="00D82C53" w:rsidRPr="00691AA3" w:rsidRDefault="00D82C53" w:rsidP="00D82C53">
      <w:pPr>
        <w:jc w:val="center"/>
        <w:rPr>
          <w:rFonts w:ascii="Arial" w:hAnsi="Arial" w:cs="Arial"/>
          <w:b/>
          <w:sz w:val="28"/>
          <w:szCs w:val="28"/>
        </w:rPr>
      </w:pPr>
      <w:r w:rsidRPr="00691AA3">
        <w:rPr>
          <w:rFonts w:ascii="Arial" w:hAnsi="Arial" w:cs="Arial"/>
          <w:b/>
          <w:sz w:val="28"/>
          <w:szCs w:val="28"/>
        </w:rPr>
        <w:t xml:space="preserve">Sala Constitucional: </w:t>
      </w:r>
      <w:r>
        <w:rPr>
          <w:rFonts w:ascii="Arial" w:hAnsi="Arial" w:cs="Arial"/>
          <w:b/>
          <w:sz w:val="28"/>
          <w:szCs w:val="28"/>
        </w:rPr>
        <w:t>R</w:t>
      </w:r>
      <w:r w:rsidRPr="00691AA3">
        <w:rPr>
          <w:rFonts w:ascii="Arial" w:hAnsi="Arial" w:cs="Arial"/>
          <w:b/>
          <w:sz w:val="28"/>
          <w:szCs w:val="28"/>
        </w:rPr>
        <w:t>equisitos que se exigen en importación de córneas para trasplantes son desproporcionados</w:t>
      </w:r>
    </w:p>
    <w:p w:rsidR="009E2DE3" w:rsidRPr="00D82C53" w:rsidRDefault="00D82C53" w:rsidP="00D82C53">
      <w:pPr>
        <w:pStyle w:val="Prrafodelista"/>
        <w:numPr>
          <w:ilvl w:val="0"/>
          <w:numId w:val="1"/>
        </w:numPr>
        <w:spacing w:after="0"/>
        <w:jc w:val="both"/>
      </w:pPr>
      <w:r w:rsidRPr="00D82C53">
        <w:rPr>
          <w:rFonts w:ascii="Arial" w:hAnsi="Arial" w:cs="Arial"/>
          <w:i/>
          <w:sz w:val="24"/>
          <w:szCs w:val="24"/>
        </w:rPr>
        <w:t>El tiempo que toma cumplir con disposiciones del Ministerio de Salud supera la vida útil de las córneas para ser trasplantadas</w:t>
      </w:r>
    </w:p>
    <w:p w:rsidR="00D82C53" w:rsidRDefault="00D82C53" w:rsidP="00D82C53">
      <w:pPr>
        <w:spacing w:after="0" w:line="360" w:lineRule="auto"/>
        <w:jc w:val="both"/>
      </w:pP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color w:val="222222"/>
          <w:sz w:val="24"/>
          <w:szCs w:val="24"/>
          <w:lang w:eastAsia="es-CR"/>
        </w:rPr>
        <w:t xml:space="preserve">La Sala Constitucional, </w:t>
      </w:r>
      <w:r w:rsidR="0089495E" w:rsidRPr="00CF4053">
        <w:rPr>
          <w:rFonts w:ascii="Arial" w:hAnsi="Arial" w:cs="Arial"/>
          <w:sz w:val="24"/>
          <w:szCs w:val="24"/>
        </w:rPr>
        <w:t>garante de la dignidad, los derechos y la libertad de las personas</w:t>
      </w:r>
      <w:r w:rsidRPr="00D82C53">
        <w:rPr>
          <w:rFonts w:ascii="Arial" w:eastAsia="Times New Roman" w:hAnsi="Arial" w:cs="Arial"/>
          <w:color w:val="222222"/>
          <w:sz w:val="24"/>
          <w:szCs w:val="24"/>
          <w:lang w:eastAsia="es-CR"/>
        </w:rPr>
        <w:t>, determinó que ciertos requerimientos actuales para la importación de córneas son del todo desprop</w:t>
      </w:r>
      <w:r>
        <w:rPr>
          <w:rFonts w:ascii="Arial" w:eastAsia="Times New Roman" w:hAnsi="Arial" w:cs="Arial"/>
          <w:color w:val="222222"/>
          <w:sz w:val="24"/>
          <w:szCs w:val="24"/>
          <w:lang w:eastAsia="es-CR"/>
        </w:rPr>
        <w:t xml:space="preserve">orcionados, porque impiden que </w:t>
      </w:r>
      <w:r w:rsidRPr="00D82C53">
        <w:rPr>
          <w:rFonts w:ascii="Arial" w:eastAsia="Times New Roman" w:hAnsi="Arial" w:cs="Arial"/>
          <w:color w:val="222222"/>
          <w:sz w:val="24"/>
          <w:szCs w:val="24"/>
          <w:lang w:eastAsia="es-CR"/>
        </w:rPr>
        <w:t>estas últimas sean trasplantadas oportunamente a los pacientes.</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color w:val="222222"/>
          <w:sz w:val="24"/>
          <w:szCs w:val="24"/>
          <w:lang w:eastAsia="es-CR"/>
        </w:rPr>
        <w:t xml:space="preserve">En el fallo </w:t>
      </w:r>
      <w:r w:rsidR="00467569">
        <w:rPr>
          <w:rFonts w:ascii="Arial" w:hAnsi="Arial" w:cs="Arial"/>
          <w:sz w:val="24"/>
          <w:szCs w:val="24"/>
        </w:rPr>
        <w:t>2019004582</w:t>
      </w:r>
      <w:r w:rsidRPr="00D82C53">
        <w:rPr>
          <w:rFonts w:ascii="Arial" w:eastAsia="Times New Roman" w:hAnsi="Arial" w:cs="Arial"/>
          <w:color w:val="222222"/>
          <w:sz w:val="24"/>
          <w:szCs w:val="24"/>
          <w:lang w:eastAsia="es-CR"/>
        </w:rPr>
        <w:t>, de forma unánime, los magistrados y magistradas declararon con lugar un recurso de amparo interpuesto por un médico de apellidos Tovar Rivera en contra del Ministerio de Salud, cartera a la que pertenece la Secretaría Ejecutiva Técnica de Donación y Trasplante de Órganos y Tejidos Humanos.</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color w:val="222222"/>
          <w:sz w:val="24"/>
          <w:szCs w:val="24"/>
          <w:lang w:eastAsia="es-CR"/>
        </w:rPr>
        <w:t>El recurrente realiza trasplantes con el apoyo del Club de Leones de Estados Unidos, el cual provee córneas que son importadas a Costa Rica para efectuar tal procedimiento a determinados pacientes.</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color w:val="222222"/>
          <w:sz w:val="24"/>
          <w:szCs w:val="24"/>
          <w:lang w:eastAsia="es-CR"/>
        </w:rPr>
        <w:t xml:space="preserve">Tal actividad se venía desarrollando desde hace tres años; sin embargo, en noviembre pasado, a partir de una nueva interpretación legal plasmada en dos oficios (actos administrativos) de la Secretaría Ejecutiva Técnica de Donación y Trasplante de Órganos y Tejidos Humanos, se vino a requerir el cumplimiento de </w:t>
      </w:r>
      <w:r w:rsidRPr="00D82C53">
        <w:rPr>
          <w:rFonts w:ascii="Arial" w:eastAsia="Times New Roman" w:hAnsi="Arial" w:cs="Arial"/>
          <w:color w:val="222222"/>
          <w:sz w:val="24"/>
          <w:szCs w:val="24"/>
          <w:lang w:eastAsia="es-CR"/>
        </w:rPr>
        <w:lastRenderedPageBreak/>
        <w:t>nuevos requisitos (como ser legalizados y traducidos oficialmente al idioma español), cuya tramitación excede la vida útil de las córneas que es de tan solo siete días. De mantenerse tal situación, no se podrían efectuar trasplantes a pacientes que requieren córneas, incluso se estaría afectando a siete personas que ya las estaban esperando.</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b/>
          <w:bCs/>
          <w:color w:val="222222"/>
          <w:sz w:val="24"/>
          <w:szCs w:val="24"/>
          <w:u w:val="single"/>
          <w:lang w:eastAsia="es-CR"/>
        </w:rPr>
        <w:t>Riesgo y proporcionalidad</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color w:val="222222"/>
          <w:sz w:val="24"/>
          <w:szCs w:val="24"/>
          <w:lang w:eastAsia="es-CR"/>
        </w:rPr>
        <w:t>La sentencia destaca que </w:t>
      </w:r>
      <w:r w:rsidRPr="00D82C53">
        <w:rPr>
          <w:rFonts w:ascii="Arial" w:eastAsia="Times New Roman" w:hAnsi="Arial" w:cs="Arial"/>
          <w:color w:val="000000"/>
          <w:sz w:val="24"/>
          <w:szCs w:val="24"/>
          <w:lang w:eastAsia="es-CR"/>
        </w:rPr>
        <w:t>el principio de proporcionalidad en sentido estricto dispone que aunque una medida sea idónea y necesaria, es irrazonable cuando vulnera el contenido esencial de un derecho fundamental.</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color w:val="222222"/>
          <w:sz w:val="24"/>
          <w:szCs w:val="24"/>
          <w:lang w:eastAsia="es-CR"/>
        </w:rPr>
        <w:t>“Si se aplica este principio al caso de marras, se advierte que la medida impuesta por los recurridos incumple claramente la exigencia de proporcionalidad en sentido estricto, toda vez que su aplicación vacía por completo el derecho de los accionantes y los pacientes de trasplantes, al impedir materialmente la importación de las córneas para trasplantes, cuya vida útil es únicamente de siete días y deben ser implantados dentro de las cuarenta y ocho horas siguientes al rompimiento de la cadena de frío</w:t>
      </w:r>
      <w:r w:rsidRPr="00D82C53">
        <w:rPr>
          <w:rFonts w:ascii="Arial" w:eastAsia="Times New Roman" w:hAnsi="Arial" w:cs="Arial"/>
          <w:color w:val="000000"/>
          <w:sz w:val="24"/>
          <w:szCs w:val="24"/>
          <w:lang w:eastAsia="es-CR"/>
        </w:rPr>
        <w:t>”, manifestó el magistrado instructor del recurso, Paul Rueda Leal.</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r w:rsidRPr="00D82C53">
        <w:rPr>
          <w:rFonts w:ascii="Arial" w:eastAsia="Times New Roman" w:hAnsi="Arial" w:cs="Arial"/>
          <w:color w:val="222222"/>
          <w:sz w:val="24"/>
          <w:szCs w:val="24"/>
          <w:lang w:eastAsia="es-CR"/>
        </w:rPr>
        <w:t>Como prueba para mejor resolver, la Sala Constitucional solicitó criterio al Colegio de Médicos. La entidad, por medio de la Asociación Oftalmológica de Costa Rica, destacó que la normativa exigida por el Ministerio de Salud genera un “riesgo de salud mayor” a la población y limita severamente el acceso a la salud.</w:t>
      </w:r>
    </w:p>
    <w:p w:rsidR="00D82C53" w:rsidRDefault="00D82C53" w:rsidP="00D82C53">
      <w:pPr>
        <w:shd w:val="clear" w:color="auto" w:fill="FFFFFF"/>
        <w:spacing w:line="360" w:lineRule="auto"/>
        <w:jc w:val="both"/>
        <w:rPr>
          <w:rFonts w:ascii="Arial" w:eastAsia="Times New Roman" w:hAnsi="Arial" w:cs="Arial"/>
          <w:color w:val="000000"/>
          <w:sz w:val="24"/>
          <w:szCs w:val="24"/>
          <w:lang w:eastAsia="es-CR"/>
        </w:rPr>
      </w:pPr>
      <w:r w:rsidRPr="00D82C53">
        <w:rPr>
          <w:rFonts w:ascii="Arial" w:eastAsia="Times New Roman" w:hAnsi="Arial" w:cs="Arial"/>
          <w:color w:val="000000"/>
          <w:sz w:val="24"/>
          <w:szCs w:val="24"/>
          <w:lang w:eastAsia="es-CR"/>
        </w:rPr>
        <w:t>En conclusión, el Alto Tribunal anula los acuerdos administrativos impugnados y ordena a la </w:t>
      </w:r>
      <w:r w:rsidRPr="00D82C53">
        <w:rPr>
          <w:rFonts w:ascii="Arial" w:eastAsia="Times New Roman" w:hAnsi="Arial" w:cs="Arial"/>
          <w:color w:val="222222"/>
          <w:sz w:val="24"/>
          <w:szCs w:val="24"/>
          <w:lang w:eastAsia="es-CR"/>
        </w:rPr>
        <w:t>Secretaría Ejecutiva Técnica de Donación y Trasplante de Órganos </w:t>
      </w:r>
      <w:r w:rsidRPr="00D82C53">
        <w:rPr>
          <w:rFonts w:ascii="Arial" w:eastAsia="Times New Roman" w:hAnsi="Arial" w:cs="Arial"/>
          <w:color w:val="000000"/>
          <w:sz w:val="24"/>
          <w:szCs w:val="24"/>
          <w:lang w:eastAsia="es-CR"/>
        </w:rPr>
        <w:t>establecer un procedimiento adecuado para la importación de córneas para trasplante, en un plazo no mayor a dos meses; hasta tanto no se establezca tal procedimiento, a los interesados se les deben exigir los requisitos vigentes al momento previo a la emisión de las disposiciones anuladas, sin perjuicio de las modificaciones normativas sobrevenidas.</w:t>
      </w:r>
    </w:p>
    <w:p w:rsidR="00D82C53" w:rsidRPr="00D82C53" w:rsidRDefault="00D82C53" w:rsidP="00D82C53">
      <w:pPr>
        <w:shd w:val="clear" w:color="auto" w:fill="FFFFFF"/>
        <w:spacing w:line="360" w:lineRule="auto"/>
        <w:jc w:val="both"/>
        <w:rPr>
          <w:rFonts w:ascii="Calibri" w:eastAsia="Times New Roman" w:hAnsi="Calibri" w:cs="Times New Roman"/>
          <w:color w:val="222222"/>
          <w:lang w:eastAsia="es-CR"/>
        </w:rPr>
      </w:pPr>
    </w:p>
    <w:tbl>
      <w:tblPr>
        <w:tblW w:w="0" w:type="auto"/>
        <w:shd w:val="clear" w:color="auto" w:fill="FFFFFF"/>
        <w:tblCellMar>
          <w:left w:w="0" w:type="dxa"/>
          <w:right w:w="0" w:type="dxa"/>
        </w:tblCellMar>
        <w:tblLook w:val="04A0"/>
      </w:tblPr>
      <w:tblGrid>
        <w:gridCol w:w="2802"/>
        <w:gridCol w:w="6176"/>
      </w:tblGrid>
      <w:tr w:rsidR="00D82C53" w:rsidRPr="00D82C53" w:rsidTr="00D82C53">
        <w:tc>
          <w:tcPr>
            <w:tcW w:w="2802" w:type="dxa"/>
            <w:tcBorders>
              <w:top w:val="single" w:sz="8" w:space="0" w:color="000000"/>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rsidR="00D82C53" w:rsidRPr="00D82C53" w:rsidRDefault="00D82C53" w:rsidP="00D82C53">
            <w:pPr>
              <w:spacing w:after="0" w:line="240" w:lineRule="auto"/>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Fecha de votación:</w:t>
            </w:r>
          </w:p>
        </w:tc>
        <w:tc>
          <w:tcPr>
            <w:tcW w:w="617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82C53" w:rsidRPr="00D82C53" w:rsidRDefault="00D82C53" w:rsidP="00D82C53">
            <w:pPr>
              <w:spacing w:after="0" w:line="240" w:lineRule="auto"/>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Viernes 15 de marzo, 2019.</w:t>
            </w:r>
          </w:p>
        </w:tc>
      </w:tr>
      <w:tr w:rsidR="00D82C53" w:rsidRPr="00D82C53" w:rsidTr="00D82C53">
        <w:tc>
          <w:tcPr>
            <w:tcW w:w="2802"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rsidR="00D82C53" w:rsidRPr="00D82C53" w:rsidRDefault="00D82C53" w:rsidP="00D82C53">
            <w:pPr>
              <w:spacing w:after="0" w:line="240" w:lineRule="auto"/>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Número de fallo:</w:t>
            </w:r>
          </w:p>
        </w:tc>
        <w:tc>
          <w:tcPr>
            <w:tcW w:w="61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2C53" w:rsidRPr="00D82C53" w:rsidRDefault="00D82C53" w:rsidP="00467569">
            <w:pPr>
              <w:spacing w:after="0" w:line="240" w:lineRule="auto"/>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2019</w:t>
            </w:r>
            <w:r w:rsidR="00467569">
              <w:rPr>
                <w:rFonts w:ascii="Arial" w:eastAsia="Times New Roman" w:hAnsi="Arial" w:cs="Arial"/>
                <w:color w:val="222222"/>
                <w:sz w:val="16"/>
                <w:szCs w:val="16"/>
                <w:lang w:eastAsia="es-CR"/>
              </w:rPr>
              <w:t>004582</w:t>
            </w:r>
          </w:p>
        </w:tc>
      </w:tr>
      <w:tr w:rsidR="00D82C53" w:rsidRPr="00D82C53" w:rsidTr="00D82C53">
        <w:trPr>
          <w:trHeight w:val="58"/>
        </w:trPr>
        <w:tc>
          <w:tcPr>
            <w:tcW w:w="2802"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rsidR="00D82C53" w:rsidRPr="00D82C53" w:rsidRDefault="00D82C53" w:rsidP="00D82C53">
            <w:pPr>
              <w:spacing w:after="0" w:line="58" w:lineRule="atLeast"/>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Fecha de presentación del amparo:</w:t>
            </w:r>
          </w:p>
        </w:tc>
        <w:tc>
          <w:tcPr>
            <w:tcW w:w="61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2C53" w:rsidRPr="00D82C53" w:rsidRDefault="00155C1F" w:rsidP="00D82C53">
            <w:pPr>
              <w:spacing w:after="0" w:line="58" w:lineRule="atLeast"/>
              <w:jc w:val="both"/>
              <w:rPr>
                <w:rFonts w:ascii="Calibri" w:eastAsia="Times New Roman" w:hAnsi="Calibri" w:cs="Times New Roman"/>
                <w:color w:val="222222"/>
                <w:lang w:eastAsia="es-CR"/>
              </w:rPr>
            </w:pPr>
            <w:r>
              <w:rPr>
                <w:rFonts w:ascii="Arial" w:eastAsia="Times New Roman" w:hAnsi="Arial" w:cs="Arial"/>
                <w:color w:val="222222"/>
                <w:sz w:val="16"/>
                <w:szCs w:val="16"/>
                <w:lang w:eastAsia="es-CR"/>
              </w:rPr>
              <w:t>11 de febrero</w:t>
            </w:r>
            <w:r w:rsidR="00D82C53" w:rsidRPr="00D82C53">
              <w:rPr>
                <w:rFonts w:ascii="Arial" w:eastAsia="Times New Roman" w:hAnsi="Arial" w:cs="Arial"/>
                <w:color w:val="222222"/>
                <w:sz w:val="16"/>
                <w:szCs w:val="16"/>
                <w:lang w:eastAsia="es-CR"/>
              </w:rPr>
              <w:t>, 2019.</w:t>
            </w:r>
          </w:p>
        </w:tc>
      </w:tr>
      <w:tr w:rsidR="00D82C53" w:rsidRPr="00D82C53" w:rsidTr="00D82C53">
        <w:tc>
          <w:tcPr>
            <w:tcW w:w="2802"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rsidR="00D82C53" w:rsidRPr="00D82C53" w:rsidRDefault="00D82C53" w:rsidP="00D82C53">
            <w:pPr>
              <w:spacing w:after="0" w:line="240" w:lineRule="auto"/>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Recurridos:</w:t>
            </w:r>
          </w:p>
        </w:tc>
        <w:tc>
          <w:tcPr>
            <w:tcW w:w="61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2C53" w:rsidRPr="00D82C53" w:rsidRDefault="00D62967" w:rsidP="00D82C53">
            <w:pPr>
              <w:spacing w:after="0" w:line="240" w:lineRule="auto"/>
              <w:jc w:val="both"/>
              <w:rPr>
                <w:rFonts w:ascii="Calibri" w:eastAsia="Times New Roman" w:hAnsi="Calibri" w:cs="Times New Roman"/>
                <w:color w:val="222222"/>
                <w:lang w:eastAsia="es-CR"/>
              </w:rPr>
            </w:pPr>
            <w:r>
              <w:rPr>
                <w:rFonts w:ascii="Arial" w:eastAsia="Times New Roman" w:hAnsi="Arial" w:cs="Arial"/>
                <w:color w:val="222222"/>
                <w:sz w:val="16"/>
                <w:szCs w:val="16"/>
                <w:lang w:eastAsia="es-CR"/>
              </w:rPr>
              <w:t>Salud</w:t>
            </w:r>
          </w:p>
        </w:tc>
      </w:tr>
      <w:tr w:rsidR="00D82C53" w:rsidRPr="00D82C53" w:rsidTr="00D82C53">
        <w:trPr>
          <w:trHeight w:val="144"/>
        </w:trPr>
        <w:tc>
          <w:tcPr>
            <w:tcW w:w="2802" w:type="dxa"/>
            <w:tcBorders>
              <w:top w:val="nil"/>
              <w:left w:val="single" w:sz="8" w:space="0" w:color="000000"/>
              <w:bottom w:val="single" w:sz="8" w:space="0" w:color="000000"/>
              <w:right w:val="single" w:sz="8" w:space="0" w:color="000000"/>
            </w:tcBorders>
            <w:shd w:val="clear" w:color="auto" w:fill="C6D9F1"/>
            <w:tcMar>
              <w:top w:w="0" w:type="dxa"/>
              <w:left w:w="108" w:type="dxa"/>
              <w:bottom w:w="0" w:type="dxa"/>
              <w:right w:w="108" w:type="dxa"/>
            </w:tcMar>
            <w:hideMark/>
          </w:tcPr>
          <w:p w:rsidR="00D82C53" w:rsidRPr="00D82C53" w:rsidRDefault="00D82C53" w:rsidP="00D82C53">
            <w:pPr>
              <w:spacing w:after="0" w:line="144" w:lineRule="atLeast"/>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Conformación del Tribunal</w:t>
            </w:r>
          </w:p>
        </w:tc>
        <w:tc>
          <w:tcPr>
            <w:tcW w:w="61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82C53" w:rsidRPr="00D82C53" w:rsidRDefault="00D82C53" w:rsidP="00D82C53">
            <w:pPr>
              <w:spacing w:after="0" w:line="144" w:lineRule="atLeast"/>
              <w:jc w:val="both"/>
              <w:rPr>
                <w:rFonts w:ascii="Calibri" w:eastAsia="Times New Roman" w:hAnsi="Calibri" w:cs="Times New Roman"/>
                <w:color w:val="222222"/>
                <w:lang w:eastAsia="es-CR"/>
              </w:rPr>
            </w:pPr>
            <w:r w:rsidRPr="00D82C53">
              <w:rPr>
                <w:rFonts w:ascii="Arial" w:eastAsia="Times New Roman" w:hAnsi="Arial" w:cs="Arial"/>
                <w:color w:val="000000"/>
                <w:sz w:val="16"/>
                <w:szCs w:val="16"/>
                <w:lang w:eastAsia="es-CR"/>
              </w:rPr>
              <w:t>Fernando Castillo Víquez, quien preside, Paul Rueda Leal, magistrado instructor; Nancy Hernández López, Luis Fernando Salazar Alvarado, Jorge Araya García; y los suplentes Marta Esquivel Rodríguez</w:t>
            </w:r>
            <w:r w:rsidR="00155C1F">
              <w:rPr>
                <w:rFonts w:ascii="Arial" w:eastAsia="Times New Roman" w:hAnsi="Arial" w:cs="Arial"/>
                <w:color w:val="000000"/>
                <w:sz w:val="16"/>
                <w:szCs w:val="16"/>
                <w:lang w:eastAsia="es-CR"/>
              </w:rPr>
              <w:t>, Ileana Sánchez</w:t>
            </w:r>
            <w:r w:rsidRPr="00D82C53">
              <w:rPr>
                <w:rFonts w:ascii="Arial" w:eastAsia="Times New Roman" w:hAnsi="Arial" w:cs="Arial"/>
                <w:color w:val="000000"/>
                <w:sz w:val="16"/>
                <w:szCs w:val="16"/>
                <w:lang w:eastAsia="es-CR"/>
              </w:rPr>
              <w:t xml:space="preserve"> </w:t>
            </w:r>
            <w:r w:rsidR="00453068">
              <w:rPr>
                <w:rFonts w:ascii="Arial" w:eastAsia="Times New Roman" w:hAnsi="Arial" w:cs="Arial"/>
                <w:color w:val="000000"/>
                <w:sz w:val="16"/>
                <w:szCs w:val="16"/>
                <w:lang w:eastAsia="es-CR"/>
              </w:rPr>
              <w:t xml:space="preserve">y </w:t>
            </w:r>
            <w:r w:rsidRPr="00D82C53">
              <w:rPr>
                <w:rFonts w:ascii="Arial" w:eastAsia="Times New Roman" w:hAnsi="Arial" w:cs="Arial"/>
                <w:color w:val="000000"/>
                <w:sz w:val="16"/>
                <w:szCs w:val="16"/>
                <w:lang w:eastAsia="es-CR"/>
              </w:rPr>
              <w:t>Mauricio Chacón Jiménez.</w:t>
            </w:r>
          </w:p>
        </w:tc>
      </w:tr>
    </w:tbl>
    <w:p w:rsidR="00D82C53" w:rsidRPr="00D82C53" w:rsidRDefault="00D82C53" w:rsidP="00D82C53">
      <w:pPr>
        <w:shd w:val="clear" w:color="auto" w:fill="FFFFFF"/>
        <w:spacing w:line="236" w:lineRule="atLeast"/>
        <w:jc w:val="both"/>
        <w:rPr>
          <w:rFonts w:ascii="Calibri" w:eastAsia="Times New Roman" w:hAnsi="Calibri" w:cs="Times New Roman"/>
          <w:color w:val="222222"/>
          <w:lang w:eastAsia="es-CR"/>
        </w:rPr>
      </w:pPr>
      <w:r w:rsidRPr="00D82C53">
        <w:rPr>
          <w:rFonts w:ascii="Arial" w:eastAsia="Times New Roman" w:hAnsi="Arial" w:cs="Arial"/>
          <w:color w:val="222222"/>
          <w:sz w:val="16"/>
          <w:szCs w:val="16"/>
          <w:lang w:eastAsia="es-CR"/>
        </w:rPr>
        <w:t> </w:t>
      </w:r>
    </w:p>
    <w:p w:rsidR="00D82C53" w:rsidRPr="00D82C53" w:rsidRDefault="00D82C53" w:rsidP="00D82C53">
      <w:pPr>
        <w:shd w:val="clear" w:color="auto" w:fill="FFFFFF"/>
        <w:spacing w:line="181" w:lineRule="atLeast"/>
        <w:jc w:val="both"/>
        <w:rPr>
          <w:rFonts w:ascii="Calibri" w:eastAsia="Times New Roman" w:hAnsi="Calibri" w:cs="Times New Roman"/>
          <w:color w:val="222222"/>
          <w:lang w:eastAsia="es-CR"/>
        </w:rPr>
      </w:pPr>
      <w:r w:rsidRPr="00D82C53">
        <w:rPr>
          <w:rFonts w:ascii="Arial" w:eastAsia="Times New Roman" w:hAnsi="Arial" w:cs="Arial"/>
          <w:i/>
          <w:iCs/>
          <w:color w:val="000000"/>
          <w:u w:val="single"/>
          <w:lang w:eastAsia="es-CR"/>
        </w:rPr>
        <w:t>Sala Constitucional garante de la dignidad, derechos y libertad de las personas</w:t>
      </w:r>
    </w:p>
    <w:p w:rsidR="00D82C53" w:rsidRPr="00D82C53" w:rsidRDefault="00D82C53" w:rsidP="00D82C53">
      <w:pPr>
        <w:shd w:val="clear" w:color="auto" w:fill="FFFFFF"/>
        <w:spacing w:line="240" w:lineRule="auto"/>
        <w:jc w:val="both"/>
        <w:rPr>
          <w:rFonts w:ascii="Calibri" w:eastAsia="Times New Roman" w:hAnsi="Calibri" w:cs="Times New Roman"/>
          <w:color w:val="222222"/>
          <w:lang w:eastAsia="es-CR"/>
        </w:rPr>
      </w:pPr>
      <w:r w:rsidRPr="00D82C53">
        <w:rPr>
          <w:rFonts w:ascii="Arial" w:eastAsia="Times New Roman" w:hAnsi="Arial" w:cs="Arial"/>
          <w:i/>
          <w:iCs/>
          <w:color w:val="000000"/>
          <w:sz w:val="16"/>
          <w:szCs w:val="16"/>
          <w:lang w:eastAsia="es-CR"/>
        </w:rPr>
        <w:t>Prensa Sala Constitucional</w:t>
      </w:r>
    </w:p>
    <w:p w:rsidR="00D82C53" w:rsidRPr="00D82C53" w:rsidRDefault="00D82C53" w:rsidP="00D82C53">
      <w:pPr>
        <w:shd w:val="clear" w:color="auto" w:fill="FFFFFF"/>
        <w:spacing w:line="240" w:lineRule="auto"/>
        <w:jc w:val="both"/>
        <w:rPr>
          <w:rFonts w:ascii="Calibri" w:eastAsia="Times New Roman" w:hAnsi="Calibri" w:cs="Times New Roman"/>
          <w:color w:val="222222"/>
          <w:lang w:eastAsia="es-CR"/>
        </w:rPr>
      </w:pPr>
      <w:r w:rsidRPr="00D82C53">
        <w:rPr>
          <w:rFonts w:ascii="Calibri" w:eastAsia="Times New Roman" w:hAnsi="Calibri" w:cs="Times New Roman"/>
          <w:i/>
          <w:iCs/>
          <w:color w:val="000000"/>
          <w:sz w:val="16"/>
          <w:szCs w:val="16"/>
          <w:lang w:eastAsia="es-CR"/>
        </w:rPr>
        <w:t> (506) 25491607</w:t>
      </w:r>
    </w:p>
    <w:p w:rsidR="00D82C53" w:rsidRDefault="00D82C53" w:rsidP="00D82C53">
      <w:pPr>
        <w:spacing w:after="0"/>
        <w:jc w:val="both"/>
      </w:pPr>
    </w:p>
    <w:sectPr w:rsidR="00D82C53" w:rsidSect="0098689E">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098" w:rsidRDefault="005C2098" w:rsidP="006E6347">
      <w:pPr>
        <w:spacing w:after="0" w:line="240" w:lineRule="auto"/>
      </w:pPr>
      <w:r>
        <w:separator/>
      </w:r>
    </w:p>
  </w:endnote>
  <w:endnote w:type="continuationSeparator" w:id="0">
    <w:p w:rsidR="005C2098" w:rsidRDefault="005C2098" w:rsidP="006E63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098" w:rsidRDefault="005C2098" w:rsidP="006E6347">
      <w:pPr>
        <w:spacing w:after="0" w:line="240" w:lineRule="auto"/>
      </w:pPr>
      <w:r>
        <w:separator/>
      </w:r>
    </w:p>
  </w:footnote>
  <w:footnote w:type="continuationSeparator" w:id="0">
    <w:p w:rsidR="005C2098" w:rsidRDefault="005C2098" w:rsidP="006E63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697405"/>
      <w:docPartObj>
        <w:docPartGallery w:val="Page Numbers (Top of Page)"/>
        <w:docPartUnique/>
      </w:docPartObj>
    </w:sdtPr>
    <w:sdtContent>
      <w:p w:rsidR="006E6347" w:rsidRDefault="00B97506">
        <w:pPr>
          <w:pStyle w:val="Encabezado"/>
        </w:pPr>
        <w:fldSimple w:instr=" PAGE   \* MERGEFORMAT ">
          <w:r w:rsidR="00D62967">
            <w:rPr>
              <w:noProof/>
            </w:rPr>
            <w:t>3</w:t>
          </w:r>
        </w:fldSimple>
      </w:p>
    </w:sdtContent>
  </w:sdt>
  <w:p w:rsidR="006E6347" w:rsidRDefault="006E634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70E"/>
    <w:multiLevelType w:val="hybridMultilevel"/>
    <w:tmpl w:val="12F6DB26"/>
    <w:lvl w:ilvl="0" w:tplc="AA227AB6">
      <w:start w:val="506"/>
      <w:numFmt w:val="bullet"/>
      <w:lvlText w:val=""/>
      <w:lvlJc w:val="left"/>
      <w:pPr>
        <w:ind w:left="720" w:hanging="360"/>
      </w:pPr>
      <w:rPr>
        <w:rFonts w:ascii="Symbol" w:eastAsiaTheme="minorHAnsi" w:hAnsi="Symbol" w:cstheme="minorBidi" w:hint="default"/>
        <w:b w:val="0"/>
        <w:sz w:val="22"/>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D82C53"/>
    <w:rsid w:val="00155C1F"/>
    <w:rsid w:val="00340E26"/>
    <w:rsid w:val="00453068"/>
    <w:rsid w:val="00467569"/>
    <w:rsid w:val="005C2098"/>
    <w:rsid w:val="006E6347"/>
    <w:rsid w:val="007F6129"/>
    <w:rsid w:val="008555E3"/>
    <w:rsid w:val="0089495E"/>
    <w:rsid w:val="0098689E"/>
    <w:rsid w:val="00B97506"/>
    <w:rsid w:val="00D62967"/>
    <w:rsid w:val="00D82C5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5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82C53"/>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D82C53"/>
    <w:pPr>
      <w:ind w:left="720"/>
      <w:contextualSpacing/>
    </w:pPr>
  </w:style>
  <w:style w:type="paragraph" w:styleId="Textodeglobo">
    <w:name w:val="Balloon Text"/>
    <w:basedOn w:val="Normal"/>
    <w:link w:val="TextodegloboCar"/>
    <w:uiPriority w:val="99"/>
    <w:semiHidden/>
    <w:unhideWhenUsed/>
    <w:rsid w:val="00D82C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2C53"/>
    <w:rPr>
      <w:rFonts w:ascii="Tahoma" w:hAnsi="Tahoma" w:cs="Tahoma"/>
      <w:sz w:val="16"/>
      <w:szCs w:val="16"/>
    </w:rPr>
  </w:style>
  <w:style w:type="paragraph" w:styleId="Encabezado">
    <w:name w:val="header"/>
    <w:basedOn w:val="Normal"/>
    <w:link w:val="EncabezadoCar"/>
    <w:uiPriority w:val="99"/>
    <w:unhideWhenUsed/>
    <w:rsid w:val="006E63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347"/>
  </w:style>
  <w:style w:type="paragraph" w:styleId="Piedepgina">
    <w:name w:val="footer"/>
    <w:basedOn w:val="Normal"/>
    <w:link w:val="PiedepginaCar"/>
    <w:uiPriority w:val="99"/>
    <w:semiHidden/>
    <w:unhideWhenUsed/>
    <w:rsid w:val="006E63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E6347"/>
  </w:style>
</w:styles>
</file>

<file path=word/webSettings.xml><?xml version="1.0" encoding="utf-8"?>
<w:webSettings xmlns:r="http://schemas.openxmlformats.org/officeDocument/2006/relationships" xmlns:w="http://schemas.openxmlformats.org/wordprocessingml/2006/main">
  <w:divs>
    <w:div w:id="15487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606</Words>
  <Characters>3335</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amatab</dc:creator>
  <cp:lastModifiedBy>amatab</cp:lastModifiedBy>
  <cp:revision>7</cp:revision>
  <cp:lastPrinted>2019-03-18T17:40:00Z</cp:lastPrinted>
  <dcterms:created xsi:type="dcterms:W3CDTF">2019-03-18T17:28:00Z</dcterms:created>
  <dcterms:modified xsi:type="dcterms:W3CDTF">2019-05-03T19:22:00Z</dcterms:modified>
</cp:coreProperties>
</file>