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8E" w:rsidRDefault="00B63E8E" w:rsidP="00D76889">
      <w:pPr>
        <w:jc w:val="center"/>
        <w:rPr>
          <w:b/>
        </w:rPr>
      </w:pPr>
      <w:r w:rsidRPr="00CF4053">
        <w:rPr>
          <w:b/>
          <w:noProof/>
          <w:lang w:eastAsia="es-CR"/>
        </w:rPr>
        <w:drawing>
          <wp:inline distT="0" distB="0" distL="0" distR="0">
            <wp:extent cx="5013740" cy="1272845"/>
            <wp:effectExtent l="19050" t="0" r="0" b="0"/>
            <wp:docPr id="2"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2847" cy="1272618"/>
                    </a:xfrm>
                    <a:prstGeom prst="rect">
                      <a:avLst/>
                    </a:prstGeom>
                    <a:noFill/>
                    <a:ln w="9525">
                      <a:noFill/>
                      <a:miter lim="800000"/>
                      <a:headEnd/>
                      <a:tailEnd/>
                    </a:ln>
                  </pic:spPr>
                </pic:pic>
              </a:graphicData>
            </a:graphic>
          </wp:inline>
        </w:drawing>
      </w:r>
    </w:p>
    <w:p w:rsidR="00B63E8E" w:rsidRPr="0034231E" w:rsidRDefault="00B63E8E" w:rsidP="00D76889">
      <w:pPr>
        <w:pStyle w:val="NormalWeb"/>
        <w:shd w:val="clear" w:color="auto" w:fill="FFFFFF"/>
        <w:spacing w:before="0" w:beforeAutospacing="0" w:after="0" w:afterAutospacing="0"/>
        <w:jc w:val="right"/>
        <w:rPr>
          <w:rFonts w:ascii="Arial" w:hAnsi="Arial" w:cs="Arial"/>
          <w:color w:val="000000"/>
          <w:sz w:val="18"/>
          <w:szCs w:val="18"/>
        </w:rPr>
      </w:pPr>
      <w:r w:rsidRPr="0034231E">
        <w:rPr>
          <w:rFonts w:ascii="Arial" w:hAnsi="Arial" w:cs="Arial"/>
          <w:color w:val="000000"/>
          <w:sz w:val="28"/>
          <w:szCs w:val="28"/>
          <w:lang w:val="es-ES"/>
        </w:rPr>
        <w:t>SC-CP-</w:t>
      </w:r>
      <w:r w:rsidR="0020035C" w:rsidRPr="0034231E">
        <w:rPr>
          <w:rFonts w:ascii="Arial" w:hAnsi="Arial" w:cs="Arial"/>
          <w:color w:val="000000"/>
          <w:sz w:val="28"/>
          <w:szCs w:val="28"/>
          <w:lang w:val="es-ES"/>
        </w:rPr>
        <w:t>07</w:t>
      </w:r>
      <w:r w:rsidRPr="0034231E">
        <w:rPr>
          <w:rFonts w:ascii="Arial" w:hAnsi="Arial" w:cs="Arial"/>
          <w:color w:val="000000"/>
          <w:sz w:val="28"/>
          <w:szCs w:val="28"/>
          <w:lang w:val="es-ES"/>
        </w:rPr>
        <w:t>0</w:t>
      </w:r>
      <w:r w:rsidR="0020035C" w:rsidRPr="0034231E">
        <w:rPr>
          <w:rFonts w:ascii="Arial" w:hAnsi="Arial" w:cs="Arial"/>
          <w:color w:val="000000"/>
          <w:sz w:val="28"/>
          <w:szCs w:val="28"/>
          <w:lang w:val="es-ES"/>
        </w:rPr>
        <w:t>8</w:t>
      </w:r>
      <w:r w:rsidRPr="0034231E">
        <w:rPr>
          <w:rFonts w:ascii="Arial" w:hAnsi="Arial" w:cs="Arial"/>
          <w:color w:val="000000"/>
          <w:sz w:val="28"/>
          <w:szCs w:val="28"/>
          <w:lang w:val="es-ES"/>
        </w:rPr>
        <w:t>19</w:t>
      </w:r>
    </w:p>
    <w:p w:rsidR="00B63E8E" w:rsidRPr="0034231E" w:rsidRDefault="00B63E8E" w:rsidP="00D76889">
      <w:pPr>
        <w:pStyle w:val="NormalWeb"/>
        <w:shd w:val="clear" w:color="auto" w:fill="FFFFFF"/>
        <w:spacing w:before="0" w:beforeAutospacing="0" w:after="0" w:afterAutospacing="0"/>
        <w:jc w:val="right"/>
        <w:rPr>
          <w:rFonts w:ascii="Arial" w:hAnsi="Arial" w:cs="Arial"/>
          <w:color w:val="000000"/>
          <w:sz w:val="28"/>
          <w:szCs w:val="28"/>
          <w:lang w:val="es-ES"/>
        </w:rPr>
      </w:pPr>
      <w:r w:rsidRPr="0034231E">
        <w:rPr>
          <w:rFonts w:ascii="Arial" w:hAnsi="Arial" w:cs="Arial"/>
          <w:color w:val="000000"/>
          <w:sz w:val="28"/>
          <w:szCs w:val="28"/>
          <w:lang w:val="es-ES"/>
        </w:rPr>
        <w:t xml:space="preserve">San José, </w:t>
      </w:r>
      <w:r w:rsidR="0020035C" w:rsidRPr="0034231E">
        <w:rPr>
          <w:rFonts w:ascii="Arial" w:hAnsi="Arial" w:cs="Arial"/>
          <w:color w:val="000000"/>
          <w:sz w:val="28"/>
          <w:szCs w:val="28"/>
          <w:lang w:val="es-ES"/>
        </w:rPr>
        <w:t>7</w:t>
      </w:r>
      <w:r w:rsidRPr="0034231E">
        <w:rPr>
          <w:rFonts w:ascii="Arial" w:hAnsi="Arial" w:cs="Arial"/>
          <w:color w:val="000000"/>
          <w:sz w:val="28"/>
          <w:szCs w:val="28"/>
          <w:lang w:val="es-ES"/>
        </w:rPr>
        <w:t xml:space="preserve"> de </w:t>
      </w:r>
      <w:r w:rsidR="0020035C" w:rsidRPr="0034231E">
        <w:rPr>
          <w:rFonts w:ascii="Arial" w:hAnsi="Arial" w:cs="Arial"/>
          <w:color w:val="000000"/>
          <w:sz w:val="28"/>
          <w:szCs w:val="28"/>
          <w:lang w:val="es-ES"/>
        </w:rPr>
        <w:t>agosto</w:t>
      </w:r>
      <w:r w:rsidRPr="0034231E">
        <w:rPr>
          <w:rFonts w:ascii="Arial" w:hAnsi="Arial" w:cs="Arial"/>
          <w:color w:val="000000"/>
          <w:sz w:val="28"/>
          <w:szCs w:val="28"/>
          <w:lang w:val="es-ES"/>
        </w:rPr>
        <w:t xml:space="preserve"> de 2019</w:t>
      </w:r>
      <w:bookmarkStart w:id="0" w:name="_GoBack"/>
      <w:bookmarkEnd w:id="0"/>
    </w:p>
    <w:p w:rsidR="00B63E8E" w:rsidRPr="0034231E" w:rsidRDefault="00B63E8E" w:rsidP="00D76889">
      <w:pPr>
        <w:pStyle w:val="NormalWeb"/>
        <w:shd w:val="clear" w:color="auto" w:fill="FFFFFF"/>
        <w:spacing w:before="0" w:beforeAutospacing="0" w:after="0" w:afterAutospacing="0"/>
        <w:jc w:val="center"/>
        <w:rPr>
          <w:rFonts w:ascii="Arial" w:hAnsi="Arial" w:cs="Arial"/>
          <w:color w:val="000000"/>
          <w:sz w:val="18"/>
          <w:szCs w:val="18"/>
        </w:rPr>
      </w:pPr>
    </w:p>
    <w:p w:rsidR="00B63E8E" w:rsidRPr="0034231E" w:rsidRDefault="00B63E8E" w:rsidP="00D76889">
      <w:pPr>
        <w:spacing w:line="240" w:lineRule="auto"/>
        <w:jc w:val="center"/>
        <w:rPr>
          <w:rFonts w:ascii="Arial" w:hAnsi="Arial" w:cs="Arial"/>
          <w:b/>
          <w:sz w:val="28"/>
          <w:szCs w:val="28"/>
        </w:rPr>
      </w:pPr>
      <w:r w:rsidRPr="0034231E">
        <w:rPr>
          <w:rFonts w:ascii="Arial" w:hAnsi="Arial" w:cs="Arial"/>
          <w:b/>
          <w:sz w:val="28"/>
          <w:szCs w:val="28"/>
        </w:rPr>
        <w:t>COMUNICADO DE PRENSA</w:t>
      </w:r>
    </w:p>
    <w:p w:rsidR="0020035C" w:rsidRPr="0034231E" w:rsidRDefault="00B63E8E" w:rsidP="00D76889">
      <w:pPr>
        <w:jc w:val="center"/>
        <w:rPr>
          <w:rFonts w:ascii="Arial" w:hAnsi="Arial" w:cs="Arial"/>
          <w:b/>
          <w:sz w:val="28"/>
          <w:szCs w:val="28"/>
        </w:rPr>
      </w:pPr>
      <w:r w:rsidRPr="0034231E">
        <w:rPr>
          <w:rFonts w:ascii="Arial" w:hAnsi="Arial" w:cs="Arial"/>
          <w:b/>
          <w:sz w:val="28"/>
          <w:szCs w:val="28"/>
        </w:rPr>
        <w:t xml:space="preserve">Sala Constitucional </w:t>
      </w:r>
      <w:r w:rsidR="0020035C" w:rsidRPr="0034231E">
        <w:rPr>
          <w:rFonts w:ascii="Arial" w:hAnsi="Arial" w:cs="Arial"/>
          <w:b/>
          <w:sz w:val="28"/>
          <w:szCs w:val="28"/>
        </w:rPr>
        <w:t xml:space="preserve">avala aplicación obligatoria de vacuna contra el </w:t>
      </w:r>
      <w:r w:rsidR="00D76889" w:rsidRPr="0034231E">
        <w:rPr>
          <w:rFonts w:ascii="Arial" w:hAnsi="Arial" w:cs="Arial"/>
          <w:b/>
          <w:sz w:val="28"/>
          <w:szCs w:val="28"/>
        </w:rPr>
        <w:t>Virus del Papiloma H</w:t>
      </w:r>
      <w:r w:rsidR="0020035C" w:rsidRPr="0034231E">
        <w:rPr>
          <w:rFonts w:ascii="Arial" w:hAnsi="Arial" w:cs="Arial"/>
          <w:b/>
          <w:sz w:val="28"/>
          <w:szCs w:val="28"/>
        </w:rPr>
        <w:t>umano</w:t>
      </w:r>
    </w:p>
    <w:p w:rsidR="0020035C" w:rsidRPr="0034231E" w:rsidRDefault="0020035C" w:rsidP="00D76889">
      <w:pPr>
        <w:pStyle w:val="Prrafodelista"/>
        <w:numPr>
          <w:ilvl w:val="0"/>
          <w:numId w:val="2"/>
        </w:numPr>
        <w:jc w:val="both"/>
        <w:rPr>
          <w:rFonts w:ascii="Arial" w:hAnsi="Arial" w:cs="Arial"/>
          <w:b/>
          <w:sz w:val="28"/>
          <w:szCs w:val="28"/>
        </w:rPr>
      </w:pPr>
      <w:r w:rsidRPr="0034231E">
        <w:rPr>
          <w:rFonts w:ascii="Arial" w:hAnsi="Arial" w:cs="Arial"/>
          <w:i/>
          <w:sz w:val="24"/>
          <w:szCs w:val="24"/>
        </w:rPr>
        <w:t xml:space="preserve">El resguardo de la salud pública y la prevención de las enfermedades </w:t>
      </w:r>
      <w:r w:rsidR="007F642C" w:rsidRPr="0034231E">
        <w:rPr>
          <w:rFonts w:ascii="Arial" w:hAnsi="Arial" w:cs="Arial"/>
          <w:i/>
          <w:sz w:val="24"/>
          <w:szCs w:val="24"/>
        </w:rPr>
        <w:t>son</w:t>
      </w:r>
      <w:r w:rsidRPr="0034231E">
        <w:rPr>
          <w:rFonts w:ascii="Arial" w:hAnsi="Arial" w:cs="Arial"/>
          <w:i/>
          <w:sz w:val="24"/>
          <w:szCs w:val="24"/>
        </w:rPr>
        <w:t xml:space="preserve"> fin</w:t>
      </w:r>
      <w:r w:rsidR="007F642C" w:rsidRPr="0034231E">
        <w:rPr>
          <w:rFonts w:ascii="Arial" w:hAnsi="Arial" w:cs="Arial"/>
          <w:i/>
          <w:sz w:val="24"/>
          <w:szCs w:val="24"/>
        </w:rPr>
        <w:t>es</w:t>
      </w:r>
      <w:r w:rsidRPr="0034231E">
        <w:rPr>
          <w:rFonts w:ascii="Arial" w:hAnsi="Arial" w:cs="Arial"/>
          <w:i/>
          <w:sz w:val="24"/>
          <w:szCs w:val="24"/>
        </w:rPr>
        <w:t xml:space="preserve"> constitucionalmente legítimo</w:t>
      </w:r>
      <w:r w:rsidR="007F642C" w:rsidRPr="0034231E">
        <w:rPr>
          <w:rFonts w:ascii="Arial" w:hAnsi="Arial" w:cs="Arial"/>
          <w:i/>
          <w:sz w:val="24"/>
          <w:szCs w:val="24"/>
        </w:rPr>
        <w:t>s</w:t>
      </w:r>
      <w:r w:rsidRPr="0034231E">
        <w:rPr>
          <w:rFonts w:ascii="Arial" w:hAnsi="Arial" w:cs="Arial"/>
          <w:i/>
          <w:sz w:val="24"/>
          <w:szCs w:val="24"/>
        </w:rPr>
        <w:t xml:space="preserve"> que justifica</w:t>
      </w:r>
      <w:r w:rsidR="007F642C" w:rsidRPr="0034231E">
        <w:rPr>
          <w:rFonts w:ascii="Arial" w:hAnsi="Arial" w:cs="Arial"/>
          <w:i/>
          <w:sz w:val="24"/>
          <w:szCs w:val="24"/>
        </w:rPr>
        <w:t>n</w:t>
      </w:r>
      <w:r w:rsidRPr="0034231E">
        <w:rPr>
          <w:rFonts w:ascii="Arial" w:hAnsi="Arial" w:cs="Arial"/>
          <w:i/>
          <w:sz w:val="24"/>
          <w:szCs w:val="24"/>
        </w:rPr>
        <w:t xml:space="preserve"> obligatoriedad</w:t>
      </w:r>
    </w:p>
    <w:p w:rsidR="0071424C" w:rsidRPr="0034231E" w:rsidRDefault="0020035C" w:rsidP="00D76889">
      <w:pPr>
        <w:jc w:val="both"/>
        <w:rPr>
          <w:rFonts w:ascii="Arial" w:hAnsi="Arial" w:cs="Arial"/>
          <w:sz w:val="24"/>
          <w:szCs w:val="24"/>
        </w:rPr>
      </w:pPr>
      <w:r w:rsidRPr="0034231E">
        <w:rPr>
          <w:rFonts w:ascii="Arial" w:hAnsi="Arial" w:cs="Arial"/>
          <w:sz w:val="24"/>
          <w:szCs w:val="24"/>
        </w:rPr>
        <w:t>La Sala Constitucional, garante de la dignidad, derechos y libertad de las personas, resolvió que</w:t>
      </w:r>
      <w:r w:rsidRPr="0034231E">
        <w:rPr>
          <w:rFonts w:ascii="Arial" w:hAnsi="Arial" w:cs="Arial"/>
        </w:rPr>
        <w:t xml:space="preserve"> </w:t>
      </w:r>
      <w:r w:rsidRPr="0034231E">
        <w:rPr>
          <w:rFonts w:ascii="Arial" w:hAnsi="Arial" w:cs="Arial"/>
          <w:sz w:val="24"/>
          <w:szCs w:val="24"/>
        </w:rPr>
        <w:t>la prevención de enfermedades</w:t>
      </w:r>
      <w:r w:rsidR="007F642C" w:rsidRPr="0034231E">
        <w:rPr>
          <w:rFonts w:ascii="Arial" w:hAnsi="Arial" w:cs="Arial"/>
          <w:sz w:val="24"/>
          <w:szCs w:val="24"/>
        </w:rPr>
        <w:t>, el interés superior de la persona menor de edad</w:t>
      </w:r>
      <w:r w:rsidRPr="0034231E">
        <w:rPr>
          <w:rFonts w:ascii="Arial" w:hAnsi="Arial" w:cs="Arial"/>
          <w:sz w:val="24"/>
          <w:szCs w:val="24"/>
        </w:rPr>
        <w:t xml:space="preserve"> </w:t>
      </w:r>
      <w:r w:rsidR="007F642C" w:rsidRPr="0034231E">
        <w:rPr>
          <w:rFonts w:ascii="Arial" w:hAnsi="Arial" w:cs="Arial"/>
          <w:sz w:val="24"/>
          <w:szCs w:val="24"/>
        </w:rPr>
        <w:t xml:space="preserve">y el resguardo de la salud pública </w:t>
      </w:r>
      <w:r w:rsidRPr="0034231E">
        <w:rPr>
          <w:rFonts w:ascii="Arial" w:hAnsi="Arial" w:cs="Arial"/>
          <w:sz w:val="24"/>
          <w:szCs w:val="24"/>
        </w:rPr>
        <w:t>constituye</w:t>
      </w:r>
      <w:r w:rsidR="007F642C" w:rsidRPr="0034231E">
        <w:rPr>
          <w:rFonts w:ascii="Arial" w:hAnsi="Arial" w:cs="Arial"/>
          <w:sz w:val="24"/>
          <w:szCs w:val="24"/>
        </w:rPr>
        <w:t>n</w:t>
      </w:r>
      <w:r w:rsidRPr="0034231E">
        <w:rPr>
          <w:rFonts w:ascii="Arial" w:hAnsi="Arial" w:cs="Arial"/>
          <w:sz w:val="24"/>
          <w:szCs w:val="24"/>
        </w:rPr>
        <w:t xml:space="preserve"> fin</w:t>
      </w:r>
      <w:r w:rsidR="007F642C" w:rsidRPr="0034231E">
        <w:rPr>
          <w:rFonts w:ascii="Arial" w:hAnsi="Arial" w:cs="Arial"/>
          <w:sz w:val="24"/>
          <w:szCs w:val="24"/>
        </w:rPr>
        <w:t>es</w:t>
      </w:r>
      <w:r w:rsidRPr="0034231E">
        <w:rPr>
          <w:rFonts w:ascii="Arial" w:hAnsi="Arial" w:cs="Arial"/>
          <w:sz w:val="24"/>
          <w:szCs w:val="24"/>
        </w:rPr>
        <w:t xml:space="preserve"> constitucionalmente legítimo</w:t>
      </w:r>
      <w:r w:rsidR="007F642C" w:rsidRPr="0034231E">
        <w:rPr>
          <w:rFonts w:ascii="Arial" w:hAnsi="Arial" w:cs="Arial"/>
          <w:sz w:val="24"/>
          <w:szCs w:val="24"/>
        </w:rPr>
        <w:t>s</w:t>
      </w:r>
      <w:r w:rsidRPr="0034231E">
        <w:rPr>
          <w:rFonts w:ascii="Arial" w:hAnsi="Arial" w:cs="Arial"/>
          <w:sz w:val="24"/>
          <w:szCs w:val="24"/>
        </w:rPr>
        <w:t xml:space="preserve"> que justifica</w:t>
      </w:r>
      <w:r w:rsidR="007F642C" w:rsidRPr="0034231E">
        <w:rPr>
          <w:rFonts w:ascii="Arial" w:hAnsi="Arial" w:cs="Arial"/>
          <w:sz w:val="24"/>
          <w:szCs w:val="24"/>
        </w:rPr>
        <w:t>n</w:t>
      </w:r>
      <w:r w:rsidRPr="0034231E">
        <w:rPr>
          <w:rFonts w:ascii="Arial" w:hAnsi="Arial" w:cs="Arial"/>
          <w:sz w:val="24"/>
          <w:szCs w:val="24"/>
        </w:rPr>
        <w:t xml:space="preserve"> </w:t>
      </w:r>
      <w:r w:rsidR="0071424C" w:rsidRPr="0034231E">
        <w:rPr>
          <w:rFonts w:ascii="Arial" w:hAnsi="Arial" w:cs="Arial"/>
          <w:sz w:val="24"/>
          <w:szCs w:val="24"/>
        </w:rPr>
        <w:t>la obliga</w:t>
      </w:r>
      <w:r w:rsidR="007F642C" w:rsidRPr="0034231E">
        <w:rPr>
          <w:rFonts w:ascii="Arial" w:hAnsi="Arial" w:cs="Arial"/>
          <w:sz w:val="24"/>
          <w:szCs w:val="24"/>
        </w:rPr>
        <w:t xml:space="preserve">toriedad de la aplicación de la vacuna </w:t>
      </w:r>
      <w:r w:rsidR="0071424C" w:rsidRPr="0034231E">
        <w:rPr>
          <w:rFonts w:ascii="Arial" w:hAnsi="Arial" w:cs="Arial"/>
          <w:sz w:val="24"/>
          <w:szCs w:val="24"/>
        </w:rPr>
        <w:t xml:space="preserve">contra el </w:t>
      </w:r>
      <w:r w:rsidR="007F642C" w:rsidRPr="0034231E">
        <w:rPr>
          <w:rFonts w:ascii="Arial" w:hAnsi="Arial" w:cs="Arial"/>
          <w:sz w:val="24"/>
          <w:szCs w:val="24"/>
        </w:rPr>
        <w:t>Virus del Papiloma H</w:t>
      </w:r>
      <w:r w:rsidR="0071424C" w:rsidRPr="0034231E">
        <w:rPr>
          <w:rFonts w:ascii="Arial" w:hAnsi="Arial" w:cs="Arial"/>
          <w:sz w:val="24"/>
          <w:szCs w:val="24"/>
        </w:rPr>
        <w:t>umano</w:t>
      </w:r>
      <w:r w:rsidR="007F642C" w:rsidRPr="0034231E">
        <w:rPr>
          <w:rFonts w:ascii="Arial" w:hAnsi="Arial" w:cs="Arial"/>
          <w:sz w:val="24"/>
          <w:szCs w:val="24"/>
        </w:rPr>
        <w:t xml:space="preserve"> (VPH)</w:t>
      </w:r>
      <w:r w:rsidR="0071424C" w:rsidRPr="0034231E">
        <w:rPr>
          <w:rFonts w:ascii="Arial" w:hAnsi="Arial" w:cs="Arial"/>
          <w:sz w:val="24"/>
          <w:szCs w:val="24"/>
        </w:rPr>
        <w:t>.</w:t>
      </w:r>
    </w:p>
    <w:p w:rsidR="008C3C53" w:rsidRPr="0034231E" w:rsidRDefault="008C3C53" w:rsidP="00D76889">
      <w:pPr>
        <w:jc w:val="both"/>
        <w:rPr>
          <w:rFonts w:ascii="Arial" w:hAnsi="Arial" w:cs="Arial"/>
          <w:sz w:val="24"/>
          <w:szCs w:val="24"/>
        </w:rPr>
      </w:pPr>
      <w:r w:rsidRPr="0034231E">
        <w:rPr>
          <w:rFonts w:ascii="Arial" w:hAnsi="Arial" w:cs="Arial"/>
          <w:sz w:val="24"/>
          <w:szCs w:val="24"/>
        </w:rPr>
        <w:t>Por tales motivos</w:t>
      </w:r>
      <w:r w:rsidR="005022AB">
        <w:rPr>
          <w:rFonts w:ascii="Arial" w:hAnsi="Arial" w:cs="Arial"/>
          <w:sz w:val="24"/>
          <w:szCs w:val="24"/>
        </w:rPr>
        <w:t xml:space="preserve"> </w:t>
      </w:r>
      <w:r w:rsidRPr="0034231E">
        <w:rPr>
          <w:rFonts w:ascii="Arial" w:hAnsi="Arial" w:cs="Arial"/>
          <w:sz w:val="24"/>
          <w:szCs w:val="24"/>
        </w:rPr>
        <w:t>dicha obligatoriedad no implica una lesión al principio de la autonomía de la voluntad, señala la sentencia número 20019-</w:t>
      </w:r>
      <w:r w:rsidR="001D019C" w:rsidRPr="0034231E">
        <w:rPr>
          <w:rFonts w:ascii="Arial" w:hAnsi="Arial" w:cs="Arial"/>
          <w:sz w:val="24"/>
          <w:szCs w:val="24"/>
        </w:rPr>
        <w:t>014677</w:t>
      </w:r>
      <w:r w:rsidRPr="0034231E">
        <w:rPr>
          <w:rFonts w:ascii="Arial" w:hAnsi="Arial" w:cs="Arial"/>
          <w:sz w:val="24"/>
          <w:szCs w:val="24"/>
        </w:rPr>
        <w:t xml:space="preserve"> del miércoles 7 de agosto</w:t>
      </w:r>
      <w:r w:rsidR="00D76889" w:rsidRPr="0034231E">
        <w:rPr>
          <w:rFonts w:ascii="Arial" w:hAnsi="Arial" w:cs="Arial"/>
          <w:sz w:val="24"/>
          <w:szCs w:val="24"/>
        </w:rPr>
        <w:t>.</w:t>
      </w:r>
    </w:p>
    <w:p w:rsidR="0071424C" w:rsidRPr="0034231E" w:rsidRDefault="008C3C53" w:rsidP="00D76889">
      <w:pPr>
        <w:jc w:val="both"/>
        <w:rPr>
          <w:rFonts w:ascii="Arial" w:hAnsi="Arial" w:cs="Arial"/>
          <w:sz w:val="24"/>
          <w:szCs w:val="24"/>
        </w:rPr>
      </w:pPr>
      <w:r w:rsidRPr="0034231E">
        <w:rPr>
          <w:rFonts w:ascii="Arial" w:hAnsi="Arial" w:cs="Arial"/>
          <w:sz w:val="24"/>
          <w:szCs w:val="24"/>
        </w:rPr>
        <w:t xml:space="preserve">En esa resolución, </w:t>
      </w:r>
      <w:r w:rsidR="007F642C" w:rsidRPr="0034231E">
        <w:rPr>
          <w:rFonts w:ascii="Arial" w:hAnsi="Arial" w:cs="Arial"/>
          <w:sz w:val="24"/>
          <w:szCs w:val="24"/>
        </w:rPr>
        <w:t xml:space="preserve"> los magistrados y magistradas rechazaron</w:t>
      </w:r>
      <w:r w:rsidR="001A1228" w:rsidRPr="0034231E">
        <w:rPr>
          <w:rFonts w:ascii="Arial" w:hAnsi="Arial" w:cs="Arial"/>
          <w:sz w:val="24"/>
          <w:szCs w:val="24"/>
        </w:rPr>
        <w:t xml:space="preserve"> de forma unánime</w:t>
      </w:r>
      <w:r w:rsidR="007F642C" w:rsidRPr="0034231E">
        <w:rPr>
          <w:rFonts w:ascii="Arial" w:hAnsi="Arial" w:cs="Arial"/>
          <w:sz w:val="24"/>
          <w:szCs w:val="24"/>
        </w:rPr>
        <w:t xml:space="preserve"> un recurso de amparo presentado por una persona menor de edad en contra de aplicación obligatoria de la vacuna contra el VPH</w:t>
      </w:r>
      <w:r w:rsidRPr="0034231E">
        <w:rPr>
          <w:rFonts w:ascii="Arial" w:hAnsi="Arial" w:cs="Arial"/>
          <w:sz w:val="24"/>
          <w:szCs w:val="24"/>
        </w:rPr>
        <w:t xml:space="preserve"> por parte del Ministerio de Salud, alegando que tras indagar en “fuentes internacionales” descubrió que la vacuna puede ocasionar severos efectos secundarios, y que en Costa Rica no se informó al respecto.</w:t>
      </w:r>
    </w:p>
    <w:p w:rsidR="005A4D7F" w:rsidRPr="0034231E" w:rsidRDefault="00D76889" w:rsidP="00D76889">
      <w:pPr>
        <w:jc w:val="both"/>
        <w:rPr>
          <w:rFonts w:ascii="Arial" w:hAnsi="Arial" w:cs="Arial"/>
          <w:b/>
          <w:sz w:val="24"/>
          <w:szCs w:val="24"/>
          <w:u w:val="single"/>
        </w:rPr>
      </w:pPr>
      <w:r w:rsidRPr="0034231E">
        <w:rPr>
          <w:rFonts w:ascii="Arial" w:hAnsi="Arial" w:cs="Arial"/>
          <w:b/>
          <w:sz w:val="24"/>
          <w:szCs w:val="24"/>
          <w:u w:val="single"/>
        </w:rPr>
        <w:t>Seguridad de la vacuna</w:t>
      </w:r>
    </w:p>
    <w:p w:rsidR="005A4D7F" w:rsidRPr="0034231E" w:rsidRDefault="005A4D7F" w:rsidP="00D76889">
      <w:pPr>
        <w:jc w:val="both"/>
        <w:rPr>
          <w:rFonts w:ascii="Arial" w:hAnsi="Arial" w:cs="Arial"/>
          <w:sz w:val="24"/>
          <w:szCs w:val="24"/>
        </w:rPr>
      </w:pPr>
      <w:r w:rsidRPr="0034231E">
        <w:rPr>
          <w:rFonts w:ascii="Arial" w:hAnsi="Arial" w:cs="Arial"/>
          <w:sz w:val="24"/>
          <w:szCs w:val="24"/>
        </w:rPr>
        <w:t>Según constató el Tribunal Constitucional, la vacuna fue aprobada por la FDA</w:t>
      </w:r>
      <w:r w:rsidRPr="0034231E">
        <w:rPr>
          <w:rFonts w:ascii="Arial" w:hAnsi="Arial" w:cs="Arial"/>
        </w:rPr>
        <w:t xml:space="preserve"> </w:t>
      </w:r>
      <w:r w:rsidRPr="0034231E">
        <w:rPr>
          <w:rFonts w:ascii="Arial" w:hAnsi="Arial" w:cs="Arial"/>
          <w:sz w:val="24"/>
          <w:szCs w:val="24"/>
        </w:rPr>
        <w:t>(Food and Drug Administration: Administración de Medicamentos y Alimentos) de Estados Unidos</w:t>
      </w:r>
      <w:r w:rsidR="00B01492">
        <w:rPr>
          <w:rFonts w:ascii="Arial" w:hAnsi="Arial" w:cs="Arial"/>
          <w:sz w:val="24"/>
          <w:szCs w:val="24"/>
        </w:rPr>
        <w:t>;</w:t>
      </w:r>
      <w:r w:rsidRPr="0034231E">
        <w:rPr>
          <w:rFonts w:ascii="Arial" w:hAnsi="Arial" w:cs="Arial"/>
          <w:sz w:val="24"/>
          <w:szCs w:val="24"/>
        </w:rPr>
        <w:t xml:space="preserve"> el Comité Asesor sobre Prácticas de Inmunización y Vacunación de los Centros de Control y Prevención de Enfermedades de los Estados Unidos de América</w:t>
      </w:r>
      <w:r w:rsidR="00B01492">
        <w:rPr>
          <w:rFonts w:ascii="Arial" w:hAnsi="Arial" w:cs="Arial"/>
          <w:sz w:val="24"/>
          <w:szCs w:val="24"/>
        </w:rPr>
        <w:t>;</w:t>
      </w:r>
      <w:r w:rsidRPr="0034231E">
        <w:rPr>
          <w:rFonts w:ascii="Arial" w:hAnsi="Arial" w:cs="Arial"/>
          <w:sz w:val="24"/>
          <w:szCs w:val="24"/>
        </w:rPr>
        <w:t xml:space="preserve"> la Agencia Europe</w:t>
      </w:r>
      <w:r w:rsidR="00B01492">
        <w:rPr>
          <w:rFonts w:ascii="Arial" w:hAnsi="Arial" w:cs="Arial"/>
          <w:sz w:val="24"/>
          <w:szCs w:val="24"/>
        </w:rPr>
        <w:t>a de Regulación de Medicamentos;</w:t>
      </w:r>
      <w:r w:rsidRPr="0034231E">
        <w:rPr>
          <w:rFonts w:ascii="Arial" w:hAnsi="Arial" w:cs="Arial"/>
          <w:sz w:val="24"/>
          <w:szCs w:val="24"/>
        </w:rPr>
        <w:t xml:space="preserve"> la </w:t>
      </w:r>
      <w:r w:rsidR="00D76889" w:rsidRPr="0034231E">
        <w:rPr>
          <w:rFonts w:ascii="Arial" w:hAnsi="Arial" w:cs="Arial"/>
          <w:sz w:val="24"/>
          <w:szCs w:val="24"/>
        </w:rPr>
        <w:t>Organización Mundial de la Salud (</w:t>
      </w:r>
      <w:r w:rsidRPr="0034231E">
        <w:rPr>
          <w:rFonts w:ascii="Arial" w:hAnsi="Arial" w:cs="Arial"/>
          <w:sz w:val="24"/>
          <w:szCs w:val="24"/>
        </w:rPr>
        <w:t>OMS</w:t>
      </w:r>
      <w:r w:rsidR="00D76889" w:rsidRPr="0034231E">
        <w:rPr>
          <w:rFonts w:ascii="Arial" w:hAnsi="Arial" w:cs="Arial"/>
          <w:sz w:val="24"/>
          <w:szCs w:val="24"/>
        </w:rPr>
        <w:t>)</w:t>
      </w:r>
      <w:r w:rsidRPr="0034231E">
        <w:rPr>
          <w:rFonts w:ascii="Arial" w:hAnsi="Arial" w:cs="Arial"/>
          <w:sz w:val="24"/>
          <w:szCs w:val="24"/>
        </w:rPr>
        <w:t xml:space="preserve"> y la </w:t>
      </w:r>
      <w:r w:rsidR="00D76889" w:rsidRPr="0034231E">
        <w:rPr>
          <w:rFonts w:ascii="Arial" w:hAnsi="Arial" w:cs="Arial"/>
          <w:sz w:val="24"/>
          <w:szCs w:val="24"/>
        </w:rPr>
        <w:t>Organización Panamericana de la Salud (</w:t>
      </w:r>
      <w:r w:rsidRPr="0034231E">
        <w:rPr>
          <w:rFonts w:ascii="Arial" w:hAnsi="Arial" w:cs="Arial"/>
          <w:sz w:val="24"/>
          <w:szCs w:val="24"/>
        </w:rPr>
        <w:t>OPS</w:t>
      </w:r>
      <w:r w:rsidR="00720651" w:rsidRPr="0034231E">
        <w:rPr>
          <w:rFonts w:ascii="Arial" w:hAnsi="Arial" w:cs="Arial"/>
          <w:sz w:val="24"/>
          <w:szCs w:val="24"/>
        </w:rPr>
        <w:t>)</w:t>
      </w:r>
      <w:r w:rsidRPr="0034231E">
        <w:rPr>
          <w:rFonts w:ascii="Arial" w:hAnsi="Arial" w:cs="Arial"/>
          <w:sz w:val="24"/>
          <w:szCs w:val="24"/>
        </w:rPr>
        <w:t>.</w:t>
      </w:r>
    </w:p>
    <w:p w:rsidR="00E67F8B" w:rsidRDefault="005A4D7F" w:rsidP="00E67F8B">
      <w:pPr>
        <w:jc w:val="both"/>
        <w:rPr>
          <w:rFonts w:ascii="Arial" w:hAnsi="Arial" w:cs="Arial"/>
          <w:sz w:val="24"/>
          <w:szCs w:val="24"/>
        </w:rPr>
      </w:pPr>
      <w:r w:rsidRPr="0034231E">
        <w:rPr>
          <w:rFonts w:ascii="Arial" w:hAnsi="Arial" w:cs="Arial"/>
          <w:sz w:val="24"/>
          <w:szCs w:val="24"/>
        </w:rPr>
        <w:lastRenderedPageBreak/>
        <w:t>A</w:t>
      </w:r>
      <w:r w:rsidR="001A1228" w:rsidRPr="0034231E">
        <w:rPr>
          <w:rFonts w:ascii="Arial" w:hAnsi="Arial" w:cs="Arial"/>
          <w:sz w:val="24"/>
          <w:szCs w:val="24"/>
        </w:rPr>
        <w:t>demás, a</w:t>
      </w:r>
      <w:r w:rsidRPr="0034231E">
        <w:rPr>
          <w:rFonts w:ascii="Arial" w:hAnsi="Arial" w:cs="Arial"/>
          <w:sz w:val="24"/>
          <w:szCs w:val="24"/>
        </w:rPr>
        <w:t>nte el Tribunal Constitucional,</w:t>
      </w:r>
      <w:r w:rsidR="001A1228" w:rsidRPr="0034231E">
        <w:rPr>
          <w:rFonts w:ascii="Arial" w:hAnsi="Arial" w:cs="Arial"/>
          <w:sz w:val="24"/>
          <w:szCs w:val="24"/>
        </w:rPr>
        <w:t xml:space="preserve"> el Ministerio de</w:t>
      </w:r>
      <w:r w:rsidRPr="0034231E">
        <w:rPr>
          <w:rFonts w:ascii="Arial" w:hAnsi="Arial" w:cs="Arial"/>
          <w:sz w:val="24"/>
          <w:szCs w:val="24"/>
        </w:rPr>
        <w:t xml:space="preserve"> Salud informó</w:t>
      </w:r>
      <w:r w:rsidR="008C3C53" w:rsidRPr="0034231E">
        <w:rPr>
          <w:rFonts w:ascii="Arial" w:hAnsi="Arial" w:cs="Arial"/>
          <w:sz w:val="24"/>
          <w:szCs w:val="24"/>
        </w:rPr>
        <w:t xml:space="preserve"> que </w:t>
      </w:r>
      <w:r w:rsidRPr="0034231E">
        <w:rPr>
          <w:rFonts w:ascii="Arial" w:hAnsi="Arial" w:cs="Arial"/>
          <w:sz w:val="24"/>
          <w:szCs w:val="24"/>
        </w:rPr>
        <w:t>la vacuna</w:t>
      </w:r>
      <w:r w:rsidR="008C3C53" w:rsidRPr="0034231E">
        <w:rPr>
          <w:rFonts w:ascii="Arial" w:hAnsi="Arial" w:cs="Arial"/>
          <w:sz w:val="24"/>
          <w:szCs w:val="24"/>
        </w:rPr>
        <w:t xml:space="preserve"> cuenta con </w:t>
      </w:r>
      <w:r w:rsidRPr="0034231E">
        <w:rPr>
          <w:rFonts w:ascii="Arial" w:hAnsi="Arial" w:cs="Arial"/>
          <w:sz w:val="24"/>
          <w:szCs w:val="24"/>
        </w:rPr>
        <w:t>un</w:t>
      </w:r>
      <w:r w:rsidR="008C3C53" w:rsidRPr="0034231E">
        <w:rPr>
          <w:rFonts w:ascii="Arial" w:hAnsi="Arial" w:cs="Arial"/>
          <w:sz w:val="24"/>
          <w:szCs w:val="24"/>
        </w:rPr>
        <w:t xml:space="preserve"> Plan de Farmacovigilancia y </w:t>
      </w:r>
      <w:r w:rsidRPr="0034231E">
        <w:rPr>
          <w:rFonts w:ascii="Arial" w:hAnsi="Arial" w:cs="Arial"/>
          <w:sz w:val="24"/>
          <w:szCs w:val="24"/>
        </w:rPr>
        <w:t>una</w:t>
      </w:r>
      <w:r w:rsidR="008C3C53" w:rsidRPr="0034231E">
        <w:rPr>
          <w:rFonts w:ascii="Arial" w:hAnsi="Arial" w:cs="Arial"/>
          <w:sz w:val="24"/>
          <w:szCs w:val="24"/>
        </w:rPr>
        <w:t xml:space="preserve"> evaluación científica del balance entre beneficio y riesgo del medicamento, el cual ha sido favorable hacia el uso de la vacuna.</w:t>
      </w:r>
      <w:r w:rsidR="00E67F8B" w:rsidRPr="00E67F8B">
        <w:rPr>
          <w:rFonts w:ascii="Arial" w:hAnsi="Arial" w:cs="Arial"/>
          <w:sz w:val="24"/>
          <w:szCs w:val="24"/>
        </w:rPr>
        <w:t xml:space="preserve"> </w:t>
      </w:r>
    </w:p>
    <w:p w:rsidR="005A4D7F" w:rsidRPr="0034231E" w:rsidRDefault="00E67F8B" w:rsidP="00D76889">
      <w:pPr>
        <w:jc w:val="both"/>
        <w:rPr>
          <w:rFonts w:ascii="Arial" w:hAnsi="Arial" w:cs="Arial"/>
          <w:sz w:val="24"/>
          <w:szCs w:val="24"/>
        </w:rPr>
      </w:pPr>
      <w:r>
        <w:rPr>
          <w:rFonts w:ascii="Arial" w:hAnsi="Arial" w:cs="Arial"/>
          <w:sz w:val="24"/>
          <w:szCs w:val="24"/>
        </w:rPr>
        <w:t>L</w:t>
      </w:r>
      <w:r w:rsidRPr="00E67F8B">
        <w:rPr>
          <w:rFonts w:ascii="Arial" w:hAnsi="Arial" w:cs="Arial"/>
          <w:sz w:val="24"/>
          <w:szCs w:val="24"/>
        </w:rPr>
        <w:t>as autoridades recurridas</w:t>
      </w:r>
      <w:r>
        <w:rPr>
          <w:rFonts w:ascii="Arial" w:hAnsi="Arial" w:cs="Arial"/>
          <w:sz w:val="24"/>
          <w:szCs w:val="24"/>
        </w:rPr>
        <w:t xml:space="preserve"> también</w:t>
      </w:r>
      <w:r w:rsidRPr="00E67F8B">
        <w:rPr>
          <w:rFonts w:ascii="Arial" w:hAnsi="Arial" w:cs="Arial"/>
          <w:sz w:val="24"/>
          <w:szCs w:val="24"/>
        </w:rPr>
        <w:t xml:space="preserve"> indicaron que las condiciones de salud de la </w:t>
      </w:r>
      <w:r>
        <w:rPr>
          <w:rFonts w:ascii="Arial" w:hAnsi="Arial" w:cs="Arial"/>
          <w:sz w:val="24"/>
          <w:szCs w:val="24"/>
        </w:rPr>
        <w:t xml:space="preserve">persona </w:t>
      </w:r>
      <w:r w:rsidRPr="00E67F8B">
        <w:rPr>
          <w:rFonts w:ascii="Arial" w:hAnsi="Arial" w:cs="Arial"/>
          <w:sz w:val="24"/>
          <w:szCs w:val="24"/>
        </w:rPr>
        <w:t xml:space="preserve">menor </w:t>
      </w:r>
      <w:r>
        <w:rPr>
          <w:rFonts w:ascii="Arial" w:hAnsi="Arial" w:cs="Arial"/>
          <w:sz w:val="24"/>
          <w:szCs w:val="24"/>
        </w:rPr>
        <w:t xml:space="preserve">de edad </w:t>
      </w:r>
      <w:r w:rsidRPr="00E67F8B">
        <w:rPr>
          <w:rFonts w:ascii="Arial" w:hAnsi="Arial" w:cs="Arial"/>
          <w:sz w:val="24"/>
          <w:szCs w:val="24"/>
        </w:rPr>
        <w:t>amparada</w:t>
      </w:r>
      <w:r>
        <w:rPr>
          <w:rFonts w:ascii="Arial" w:hAnsi="Arial" w:cs="Arial"/>
          <w:sz w:val="24"/>
          <w:szCs w:val="24"/>
        </w:rPr>
        <w:t xml:space="preserve"> (alergias y problemas bronquiales)</w:t>
      </w:r>
      <w:r w:rsidRPr="00E67F8B">
        <w:rPr>
          <w:rFonts w:ascii="Arial" w:hAnsi="Arial" w:cs="Arial"/>
          <w:sz w:val="24"/>
          <w:szCs w:val="24"/>
        </w:rPr>
        <w:t xml:space="preserve"> no contraindic</w:t>
      </w:r>
      <w:r>
        <w:rPr>
          <w:rFonts w:ascii="Arial" w:hAnsi="Arial" w:cs="Arial"/>
          <w:sz w:val="24"/>
          <w:szCs w:val="24"/>
        </w:rPr>
        <w:t>a</w:t>
      </w:r>
      <w:r w:rsidRPr="00E67F8B">
        <w:rPr>
          <w:rFonts w:ascii="Arial" w:hAnsi="Arial" w:cs="Arial"/>
          <w:sz w:val="24"/>
          <w:szCs w:val="24"/>
        </w:rPr>
        <w:t xml:space="preserve">n </w:t>
      </w:r>
      <w:r>
        <w:rPr>
          <w:rFonts w:ascii="Arial" w:hAnsi="Arial" w:cs="Arial"/>
          <w:sz w:val="24"/>
          <w:szCs w:val="24"/>
        </w:rPr>
        <w:t>la aplicación de la vacuna.</w:t>
      </w:r>
    </w:p>
    <w:p w:rsidR="006B39BB" w:rsidRPr="0034231E" w:rsidRDefault="006B39BB" w:rsidP="00D76889">
      <w:pPr>
        <w:jc w:val="both"/>
        <w:rPr>
          <w:rFonts w:ascii="Arial" w:hAnsi="Arial" w:cs="Arial"/>
          <w:b/>
          <w:sz w:val="24"/>
          <w:szCs w:val="24"/>
          <w:u w:val="single"/>
        </w:rPr>
      </w:pPr>
      <w:r w:rsidRPr="0034231E">
        <w:rPr>
          <w:rFonts w:ascii="Arial" w:hAnsi="Arial" w:cs="Arial"/>
          <w:b/>
          <w:sz w:val="24"/>
          <w:szCs w:val="24"/>
          <w:u w:val="single"/>
        </w:rPr>
        <w:t xml:space="preserve">Información </w:t>
      </w:r>
    </w:p>
    <w:p w:rsidR="00DD4D60" w:rsidRDefault="00F731D7" w:rsidP="00D76889">
      <w:pPr>
        <w:jc w:val="both"/>
        <w:rPr>
          <w:rFonts w:ascii="Times New Roman" w:hAnsi="Times New Roman" w:cs="Times New Roman"/>
          <w:sz w:val="20"/>
          <w:szCs w:val="20"/>
        </w:rPr>
      </w:pPr>
      <w:r w:rsidRPr="00F731D7">
        <w:rPr>
          <w:rFonts w:ascii="Arial" w:hAnsi="Arial" w:cs="Arial"/>
          <w:sz w:val="24"/>
          <w:szCs w:val="24"/>
        </w:rPr>
        <w:t>Finalmente en la sentencia se señala que las instituciones sanitarias implementaron estrategias de comunicación nacionales, regionales y locales para explicar sobre la inmunización contra el VPH a través de medios audiovisuales, redes sociales y material impreso, donde se explican los aspectos relacionados con la vacuna, entre ellos sus beneficios, la manera de aplicación, los posibles efectos secundarios, contraindicaciones, toda vez que los encargados de los menores tienen derecho a conocer tales datos. En el caso concreto, no consta que, en algún momento, las autoridades del Ministerio de Salud o de la Caja Costarricense de Seguro Social hubiesen denegado algún tipo de información acerca de la vacuna contra el VPH</w:t>
      </w:r>
      <w:r>
        <w:rPr>
          <w:rFonts w:ascii="Arial" w:hAnsi="Arial" w:cs="Arial"/>
          <w:sz w:val="24"/>
          <w:szCs w:val="24"/>
        </w:rPr>
        <w:t>.</w:t>
      </w:r>
      <w:r w:rsidR="00DD4D60" w:rsidRPr="00DD4D60">
        <w:rPr>
          <w:rFonts w:ascii="Times New Roman" w:hAnsi="Times New Roman" w:cs="Times New Roman"/>
          <w:sz w:val="20"/>
          <w:szCs w:val="20"/>
        </w:rPr>
        <w:t xml:space="preserve"> </w:t>
      </w:r>
    </w:p>
    <w:p w:rsidR="00DD4D60" w:rsidRPr="00DD4D60" w:rsidRDefault="00DD4D60" w:rsidP="00DD4D60">
      <w:pPr>
        <w:jc w:val="both"/>
        <w:rPr>
          <w:rFonts w:ascii="Arial" w:hAnsi="Arial" w:cs="Arial"/>
          <w:b/>
          <w:color w:val="000000"/>
          <w:sz w:val="24"/>
          <w:szCs w:val="24"/>
          <w:u w:val="single"/>
        </w:rPr>
      </w:pPr>
      <w:r w:rsidRPr="00DD4D60">
        <w:rPr>
          <w:rFonts w:ascii="Arial" w:hAnsi="Arial" w:cs="Arial"/>
          <w:b/>
          <w:sz w:val="24"/>
          <w:szCs w:val="24"/>
          <w:u w:val="single"/>
        </w:rPr>
        <w:t>Nota</w:t>
      </w:r>
      <w:r>
        <w:rPr>
          <w:rFonts w:ascii="Arial" w:hAnsi="Arial" w:cs="Arial"/>
          <w:b/>
          <w:sz w:val="24"/>
          <w:szCs w:val="24"/>
          <w:u w:val="single"/>
        </w:rPr>
        <w:t>*</w:t>
      </w:r>
      <w:r w:rsidRPr="00DD4D60">
        <w:rPr>
          <w:rFonts w:ascii="Arial" w:hAnsi="Arial" w:cs="Arial"/>
          <w:b/>
          <w:sz w:val="24"/>
          <w:szCs w:val="24"/>
          <w:u w:val="single"/>
        </w:rPr>
        <w:t xml:space="preserve"> de magistrados </w:t>
      </w:r>
    </w:p>
    <w:p w:rsidR="00DD4D60" w:rsidRPr="00DD4D60" w:rsidRDefault="00DD4D60" w:rsidP="00DD4D60">
      <w:pPr>
        <w:jc w:val="both"/>
        <w:rPr>
          <w:rFonts w:ascii="Arial" w:hAnsi="Arial" w:cs="Arial"/>
          <w:color w:val="000000"/>
          <w:sz w:val="24"/>
          <w:szCs w:val="24"/>
        </w:rPr>
      </w:pPr>
      <w:r w:rsidRPr="00DD4D60">
        <w:rPr>
          <w:rFonts w:ascii="Arial" w:hAnsi="Arial" w:cs="Arial"/>
          <w:color w:val="000000"/>
          <w:sz w:val="24"/>
          <w:szCs w:val="24"/>
        </w:rPr>
        <w:t>Los magistrados Luis Fernando Salazar, Marta Esquivel y Ana María Picado</w:t>
      </w:r>
      <w:r>
        <w:rPr>
          <w:rFonts w:ascii="Arial" w:hAnsi="Arial" w:cs="Arial"/>
          <w:color w:val="000000"/>
          <w:sz w:val="24"/>
          <w:szCs w:val="24"/>
        </w:rPr>
        <w:t xml:space="preserve"> </w:t>
      </w:r>
      <w:r w:rsidRPr="00DD4D60">
        <w:rPr>
          <w:rFonts w:ascii="Arial" w:hAnsi="Arial" w:cs="Arial"/>
          <w:color w:val="000000"/>
          <w:sz w:val="24"/>
          <w:szCs w:val="24"/>
        </w:rPr>
        <w:t>coinciden con el voto de la Sala</w:t>
      </w:r>
      <w:r w:rsidRPr="00DD4D60">
        <w:rPr>
          <w:rFonts w:ascii="Arial" w:hAnsi="Arial" w:cs="Arial"/>
          <w:b/>
          <w:sz w:val="24"/>
          <w:szCs w:val="24"/>
        </w:rPr>
        <w:t xml:space="preserve"> </w:t>
      </w:r>
      <w:r w:rsidRPr="00DD4D60">
        <w:rPr>
          <w:rFonts w:ascii="Arial" w:hAnsi="Arial" w:cs="Arial"/>
          <w:color w:val="000000"/>
          <w:sz w:val="24"/>
          <w:szCs w:val="24"/>
        </w:rPr>
        <w:t>y agregan:</w:t>
      </w:r>
    </w:p>
    <w:p w:rsidR="00DD4D60" w:rsidRPr="00DD4D60" w:rsidRDefault="00DD4D60" w:rsidP="00DD4D60">
      <w:pPr>
        <w:pStyle w:val="Prrafodelista"/>
        <w:numPr>
          <w:ilvl w:val="0"/>
          <w:numId w:val="2"/>
        </w:numPr>
        <w:jc w:val="both"/>
        <w:rPr>
          <w:rFonts w:ascii="Arial" w:hAnsi="Arial" w:cs="Arial"/>
          <w:color w:val="000000"/>
          <w:sz w:val="24"/>
          <w:szCs w:val="24"/>
        </w:rPr>
      </w:pPr>
      <w:r w:rsidRPr="00DD4D60">
        <w:rPr>
          <w:rFonts w:ascii="Arial" w:hAnsi="Arial" w:cs="Arial"/>
          <w:color w:val="000000"/>
          <w:sz w:val="24"/>
          <w:szCs w:val="24"/>
        </w:rPr>
        <w:t xml:space="preserve">La aplicación de la vacuna contra VPH produce efectos secundarios leves: dolor, hinchazón, picazón, enrojecimiento o formación de hematoma en el lugar de la inyección, dolor de cabeza, fiebre, náuseas, mareos, vómitos y desmayos, no así discapacidades o la muerte. </w:t>
      </w:r>
    </w:p>
    <w:p w:rsidR="00DD4D60" w:rsidRPr="00DD4D60" w:rsidRDefault="00DD4D60" w:rsidP="00DD4D60">
      <w:pPr>
        <w:pStyle w:val="Prrafodelista"/>
        <w:numPr>
          <w:ilvl w:val="0"/>
          <w:numId w:val="2"/>
        </w:numPr>
        <w:jc w:val="both"/>
        <w:rPr>
          <w:rFonts w:ascii="Arial" w:hAnsi="Arial" w:cs="Arial"/>
          <w:color w:val="000000"/>
          <w:sz w:val="24"/>
          <w:szCs w:val="24"/>
        </w:rPr>
      </w:pPr>
      <w:r w:rsidRPr="00DD4D60">
        <w:rPr>
          <w:rFonts w:ascii="Arial" w:hAnsi="Arial" w:cs="Arial"/>
          <w:color w:val="000000"/>
          <w:sz w:val="24"/>
          <w:szCs w:val="24"/>
        </w:rPr>
        <w:t xml:space="preserve">En atención al derecho a la información de la menor recurrente, previo a su vacunación y bajo la orientación de sus padres o representantes, educadores y funcionarios de salud, deberá informársele del objetivo del fármaco, los citados efectos adversos que se pueden asociar, así como la entrega del prospecto incluido dentro del empaque del producto. </w:t>
      </w:r>
    </w:p>
    <w:p w:rsidR="006B39BB" w:rsidRPr="00DD4D60" w:rsidRDefault="00DD4D60" w:rsidP="00DD4D60">
      <w:pPr>
        <w:pStyle w:val="Prrafodelista"/>
        <w:numPr>
          <w:ilvl w:val="0"/>
          <w:numId w:val="2"/>
        </w:numPr>
        <w:jc w:val="both"/>
        <w:rPr>
          <w:rFonts w:ascii="Arial" w:hAnsi="Arial" w:cs="Arial"/>
          <w:color w:val="000000"/>
          <w:sz w:val="24"/>
          <w:szCs w:val="24"/>
        </w:rPr>
      </w:pPr>
      <w:r w:rsidRPr="00DD4D60">
        <w:rPr>
          <w:rFonts w:ascii="Arial" w:hAnsi="Arial" w:cs="Arial"/>
          <w:color w:val="000000"/>
          <w:sz w:val="24"/>
          <w:szCs w:val="24"/>
        </w:rPr>
        <w:t>Finalmente, tal y como lo indica la sentencia, con base en criterios médicos, podrían establecerse casos de excepción para aplicación de la citada vacuna, lo cual deberá alegarse de previo ante las propias autoridades de salud.</w:t>
      </w:r>
    </w:p>
    <w:p w:rsidR="00DD4D60" w:rsidRPr="00DD4D60" w:rsidRDefault="00DD4D60" w:rsidP="001617D1">
      <w:pPr>
        <w:pStyle w:val="Prrafodelista"/>
        <w:jc w:val="both"/>
        <w:rPr>
          <w:rFonts w:ascii="Times New Roman" w:hAnsi="Times New Roman"/>
          <w:sz w:val="20"/>
          <w:szCs w:val="20"/>
        </w:rPr>
      </w:pPr>
    </w:p>
    <w:p w:rsidR="0034231E" w:rsidRPr="00DD4D60" w:rsidRDefault="001617D1" w:rsidP="001617D1">
      <w:pPr>
        <w:pStyle w:val="Prrafodelista"/>
        <w:jc w:val="both"/>
        <w:rPr>
          <w:rFonts w:ascii="Times New Roman" w:hAnsi="Times New Roman"/>
          <w:sz w:val="20"/>
          <w:szCs w:val="20"/>
        </w:rPr>
      </w:pPr>
      <w:r w:rsidRPr="00DD4D60">
        <w:rPr>
          <w:rFonts w:ascii="Times New Roman" w:hAnsi="Times New Roman"/>
          <w:sz w:val="20"/>
          <w:szCs w:val="20"/>
        </w:rPr>
        <w:t>*</w:t>
      </w:r>
      <w:r w:rsidR="0034231E" w:rsidRPr="00DD4D60">
        <w:rPr>
          <w:rFonts w:ascii="Times New Roman" w:hAnsi="Times New Roman"/>
          <w:sz w:val="20"/>
          <w:szCs w:val="20"/>
        </w:rPr>
        <w:t>En la nota los magistrados o magistrados exponen razones adicionales</w:t>
      </w:r>
      <w:r w:rsidRPr="00DD4D60">
        <w:rPr>
          <w:rFonts w:ascii="Times New Roman" w:hAnsi="Times New Roman"/>
          <w:sz w:val="20"/>
          <w:szCs w:val="20"/>
        </w:rPr>
        <w:t xml:space="preserve"> a los planteados en la sentencia, y se incorporan al documento con esa distinción.</w:t>
      </w:r>
    </w:p>
    <w:tbl>
      <w:tblPr>
        <w:tblStyle w:val="Tablaconcuadrcula"/>
        <w:tblW w:w="0" w:type="auto"/>
        <w:tblLook w:val="04A0"/>
      </w:tblPr>
      <w:tblGrid>
        <w:gridCol w:w="1951"/>
        <w:gridCol w:w="7047"/>
      </w:tblGrid>
      <w:tr w:rsidR="001D019C" w:rsidRPr="00481142" w:rsidTr="001D019C">
        <w:tc>
          <w:tcPr>
            <w:tcW w:w="1951" w:type="dxa"/>
            <w:shd w:val="clear" w:color="auto" w:fill="C6D9F1" w:themeFill="text2" w:themeFillTint="33"/>
          </w:tcPr>
          <w:p w:rsidR="001D019C" w:rsidRPr="001617D1" w:rsidRDefault="001D019C" w:rsidP="00A001CE">
            <w:pPr>
              <w:rPr>
                <w:rFonts w:cs="Times New Roman"/>
                <w:sz w:val="18"/>
                <w:szCs w:val="18"/>
              </w:rPr>
            </w:pPr>
            <w:r w:rsidRPr="001617D1">
              <w:rPr>
                <w:rFonts w:cs="Times New Roman"/>
                <w:sz w:val="18"/>
                <w:szCs w:val="18"/>
              </w:rPr>
              <w:lastRenderedPageBreak/>
              <w:t>Número de fallo:</w:t>
            </w:r>
          </w:p>
        </w:tc>
        <w:tc>
          <w:tcPr>
            <w:tcW w:w="7047" w:type="dxa"/>
          </w:tcPr>
          <w:p w:rsidR="001D019C" w:rsidRPr="001617D1" w:rsidRDefault="001D019C" w:rsidP="00A001CE">
            <w:pPr>
              <w:rPr>
                <w:rFonts w:cs="Times New Roman"/>
                <w:sz w:val="18"/>
                <w:szCs w:val="18"/>
              </w:rPr>
            </w:pPr>
            <w:r w:rsidRPr="001617D1">
              <w:rPr>
                <w:rFonts w:cs="Times New Roman"/>
                <w:sz w:val="18"/>
                <w:szCs w:val="18"/>
              </w:rPr>
              <w:t>20019-014677</w:t>
            </w:r>
          </w:p>
        </w:tc>
      </w:tr>
      <w:tr w:rsidR="001D019C" w:rsidRPr="00481142" w:rsidTr="001D019C">
        <w:tc>
          <w:tcPr>
            <w:tcW w:w="1951" w:type="dxa"/>
            <w:shd w:val="clear" w:color="auto" w:fill="C6D9F1" w:themeFill="text2" w:themeFillTint="33"/>
          </w:tcPr>
          <w:p w:rsidR="001D019C" w:rsidRPr="001617D1" w:rsidRDefault="001D019C" w:rsidP="00A001CE">
            <w:pPr>
              <w:rPr>
                <w:rFonts w:cs="Times New Roman"/>
                <w:sz w:val="18"/>
                <w:szCs w:val="18"/>
              </w:rPr>
            </w:pPr>
            <w:r w:rsidRPr="001617D1">
              <w:rPr>
                <w:rFonts w:cs="Times New Roman"/>
                <w:sz w:val="18"/>
                <w:szCs w:val="18"/>
              </w:rPr>
              <w:t>Fecha de votación:</w:t>
            </w:r>
          </w:p>
        </w:tc>
        <w:tc>
          <w:tcPr>
            <w:tcW w:w="7047" w:type="dxa"/>
          </w:tcPr>
          <w:p w:rsidR="001D019C" w:rsidRPr="001617D1" w:rsidRDefault="001D019C" w:rsidP="00A001CE">
            <w:pPr>
              <w:rPr>
                <w:rFonts w:cs="Times New Roman"/>
                <w:sz w:val="18"/>
                <w:szCs w:val="18"/>
              </w:rPr>
            </w:pPr>
            <w:r w:rsidRPr="001617D1">
              <w:rPr>
                <w:rFonts w:cs="Times New Roman"/>
                <w:sz w:val="18"/>
                <w:szCs w:val="18"/>
              </w:rPr>
              <w:t>7 de agosto del 2019</w:t>
            </w:r>
          </w:p>
        </w:tc>
      </w:tr>
      <w:tr w:rsidR="001D019C" w:rsidRPr="00481142" w:rsidTr="001D019C">
        <w:tc>
          <w:tcPr>
            <w:tcW w:w="1951" w:type="dxa"/>
            <w:shd w:val="clear" w:color="auto" w:fill="C6D9F1" w:themeFill="text2" w:themeFillTint="33"/>
          </w:tcPr>
          <w:p w:rsidR="001D019C" w:rsidRPr="001617D1" w:rsidRDefault="001D019C" w:rsidP="001D019C">
            <w:pPr>
              <w:rPr>
                <w:rFonts w:cs="Times New Roman"/>
                <w:sz w:val="18"/>
                <w:szCs w:val="18"/>
              </w:rPr>
            </w:pPr>
            <w:r w:rsidRPr="001617D1">
              <w:rPr>
                <w:rFonts w:cs="Times New Roman"/>
                <w:sz w:val="18"/>
                <w:szCs w:val="18"/>
              </w:rPr>
              <w:t>Instituciones recurridas:</w:t>
            </w:r>
          </w:p>
        </w:tc>
        <w:tc>
          <w:tcPr>
            <w:tcW w:w="7047" w:type="dxa"/>
          </w:tcPr>
          <w:p w:rsidR="001D019C" w:rsidRPr="001617D1" w:rsidRDefault="001D019C" w:rsidP="00A001CE">
            <w:pPr>
              <w:rPr>
                <w:rFonts w:cs="Times New Roman"/>
                <w:sz w:val="18"/>
                <w:szCs w:val="18"/>
              </w:rPr>
            </w:pPr>
            <w:r w:rsidRPr="001617D1">
              <w:rPr>
                <w:rFonts w:cs="Times New Roman"/>
                <w:sz w:val="18"/>
                <w:szCs w:val="18"/>
              </w:rPr>
              <w:t>Ministerio de Salud y Caja Costarricense del Seguro Social</w:t>
            </w:r>
          </w:p>
        </w:tc>
      </w:tr>
      <w:tr w:rsidR="001D019C" w:rsidRPr="00481142" w:rsidTr="001D019C">
        <w:tc>
          <w:tcPr>
            <w:tcW w:w="1951" w:type="dxa"/>
            <w:shd w:val="clear" w:color="auto" w:fill="D9D9D9" w:themeFill="background1" w:themeFillShade="D9"/>
          </w:tcPr>
          <w:p w:rsidR="001D019C" w:rsidRPr="001617D1" w:rsidRDefault="001D019C" w:rsidP="001D019C">
            <w:pPr>
              <w:rPr>
                <w:rFonts w:cs="Times New Roman"/>
                <w:sz w:val="18"/>
                <w:szCs w:val="18"/>
              </w:rPr>
            </w:pPr>
            <w:r w:rsidRPr="001617D1">
              <w:rPr>
                <w:rFonts w:cs="Times New Roman"/>
                <w:sz w:val="18"/>
                <w:szCs w:val="18"/>
              </w:rPr>
              <w:t>Conformación del Tribunal:</w:t>
            </w:r>
          </w:p>
        </w:tc>
        <w:tc>
          <w:tcPr>
            <w:tcW w:w="7047" w:type="dxa"/>
          </w:tcPr>
          <w:p w:rsidR="001D019C" w:rsidRPr="001617D1" w:rsidRDefault="001D019C" w:rsidP="001D019C">
            <w:pPr>
              <w:rPr>
                <w:rFonts w:eastAsia="Times New Roman" w:cs="Times New Roman"/>
                <w:sz w:val="18"/>
                <w:szCs w:val="18"/>
                <w:lang w:eastAsia="es-CR"/>
              </w:rPr>
            </w:pPr>
            <w:r w:rsidRPr="001617D1">
              <w:rPr>
                <w:rFonts w:eastAsia="Times New Roman" w:cs="Times New Roman"/>
                <w:sz w:val="18"/>
                <w:szCs w:val="18"/>
                <w:lang w:eastAsia="es-CR"/>
              </w:rPr>
              <w:t>Fernando Castillo Víquez, quien preside, Paul Rueda Leal</w:t>
            </w:r>
            <w:r w:rsidR="00B01492">
              <w:rPr>
                <w:rFonts w:eastAsia="Times New Roman" w:cs="Times New Roman"/>
                <w:sz w:val="18"/>
                <w:szCs w:val="18"/>
                <w:lang w:eastAsia="es-CR"/>
              </w:rPr>
              <w:t xml:space="preserve"> (magistrado instructor)</w:t>
            </w:r>
            <w:r w:rsidRPr="001617D1">
              <w:rPr>
                <w:rFonts w:eastAsia="Times New Roman" w:cs="Times New Roman"/>
                <w:sz w:val="18"/>
                <w:szCs w:val="18"/>
                <w:lang w:eastAsia="es-CR"/>
              </w:rPr>
              <w:t>, Nancy Hernández López, Luis Fernando Salazar Alvarado,  Jorge Araya García, y los suplentes Marta Esquivel y Ana María Picado</w:t>
            </w:r>
          </w:p>
        </w:tc>
      </w:tr>
    </w:tbl>
    <w:p w:rsidR="001D019C" w:rsidRDefault="001D019C" w:rsidP="001D019C"/>
    <w:p w:rsidR="001D019C" w:rsidRDefault="001D019C" w:rsidP="001D019C">
      <w:pPr>
        <w:jc w:val="center"/>
        <w:rPr>
          <w:rFonts w:ascii="Times New Roman" w:hAnsi="Times New Roman" w:cs="Times New Roman"/>
          <w:b/>
          <w:sz w:val="24"/>
          <w:szCs w:val="24"/>
        </w:rPr>
      </w:pPr>
      <w:r>
        <w:rPr>
          <w:rFonts w:ascii="Times New Roman" w:hAnsi="Times New Roman" w:cs="Times New Roman"/>
          <w:b/>
          <w:noProof/>
          <w:sz w:val="24"/>
          <w:szCs w:val="24"/>
          <w:lang w:eastAsia="es-CR"/>
        </w:rPr>
        <w:drawing>
          <wp:inline distT="0" distB="0" distL="0" distR="0">
            <wp:extent cx="2012484" cy="1879558"/>
            <wp:effectExtent l="19050" t="0" r="6816" b="0"/>
            <wp:docPr id="13" name="Imagen 8" descr="C:\Users\amatab\Desktop\Logo_Sala_Constitucional_30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atab\Desktop\Logo_Sala_Constitucional_30AN(1).png"/>
                    <pic:cNvPicPr>
                      <a:picLocks noChangeAspect="1" noChangeArrowheads="1"/>
                    </pic:cNvPicPr>
                  </pic:nvPicPr>
                  <pic:blipFill>
                    <a:blip r:embed="rId8" cstate="print"/>
                    <a:srcRect/>
                    <a:stretch>
                      <a:fillRect/>
                    </a:stretch>
                  </pic:blipFill>
                  <pic:spPr bwMode="auto">
                    <a:xfrm>
                      <a:off x="0" y="0"/>
                      <a:ext cx="2012484" cy="1879558"/>
                    </a:xfrm>
                    <a:prstGeom prst="rect">
                      <a:avLst/>
                    </a:prstGeom>
                    <a:noFill/>
                    <a:ln w="9525">
                      <a:noFill/>
                      <a:miter lim="800000"/>
                      <a:headEnd/>
                      <a:tailEnd/>
                    </a:ln>
                  </pic:spPr>
                </pic:pic>
              </a:graphicData>
            </a:graphic>
          </wp:inline>
        </w:drawing>
      </w:r>
    </w:p>
    <w:p w:rsidR="001D019C" w:rsidRDefault="001D019C" w:rsidP="001D019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Sala Constitucional</w:t>
      </w:r>
    </w:p>
    <w:p w:rsidR="001D019C" w:rsidRPr="00481142" w:rsidRDefault="001D019C" w:rsidP="001D019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Garante de la dignidad, los derechos y libertad de las personas</w:t>
      </w:r>
    </w:p>
    <w:p w:rsidR="003C202F" w:rsidRPr="005A4D7F" w:rsidRDefault="003C202F">
      <w:pPr>
        <w:jc w:val="both"/>
        <w:rPr>
          <w:rFonts w:ascii="Times New Roman" w:hAnsi="Times New Roman" w:cs="Times New Roman"/>
          <w:sz w:val="24"/>
          <w:szCs w:val="24"/>
        </w:rPr>
      </w:pPr>
    </w:p>
    <w:sectPr w:rsidR="003C202F" w:rsidRPr="005A4D7F" w:rsidSect="00E443EF">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B2B" w:rsidRDefault="00F44B2B" w:rsidP="0034231E">
      <w:pPr>
        <w:spacing w:after="0" w:line="240" w:lineRule="auto"/>
      </w:pPr>
      <w:r>
        <w:separator/>
      </w:r>
    </w:p>
  </w:endnote>
  <w:endnote w:type="continuationSeparator" w:id="0">
    <w:p w:rsidR="00F44B2B" w:rsidRDefault="00F44B2B" w:rsidP="00342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B2B" w:rsidRDefault="00F44B2B" w:rsidP="0034231E">
      <w:pPr>
        <w:spacing w:after="0" w:line="240" w:lineRule="auto"/>
      </w:pPr>
      <w:r>
        <w:separator/>
      </w:r>
    </w:p>
  </w:footnote>
  <w:footnote w:type="continuationSeparator" w:id="0">
    <w:p w:rsidR="00F44B2B" w:rsidRDefault="00F44B2B" w:rsidP="00342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479257"/>
      <w:docPartObj>
        <w:docPartGallery w:val="Page Numbers (Top of Page)"/>
        <w:docPartUnique/>
      </w:docPartObj>
    </w:sdtPr>
    <w:sdtContent>
      <w:p w:rsidR="0034231E" w:rsidRDefault="007A4B7D">
        <w:pPr>
          <w:pStyle w:val="Encabezado"/>
          <w:jc w:val="right"/>
        </w:pPr>
        <w:fldSimple w:instr=" PAGE   \* MERGEFORMAT ">
          <w:r w:rsidR="00DD4D60">
            <w:rPr>
              <w:noProof/>
            </w:rPr>
            <w:t>2</w:t>
          </w:r>
        </w:fldSimple>
      </w:p>
    </w:sdtContent>
  </w:sdt>
  <w:p w:rsidR="0034231E" w:rsidRDefault="0034231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70E"/>
    <w:multiLevelType w:val="hybridMultilevel"/>
    <w:tmpl w:val="12F6DB26"/>
    <w:lvl w:ilvl="0" w:tplc="AA227AB6">
      <w:start w:val="506"/>
      <w:numFmt w:val="bullet"/>
      <w:lvlText w:val=""/>
      <w:lvlJc w:val="left"/>
      <w:pPr>
        <w:ind w:left="720" w:hanging="360"/>
      </w:pPr>
      <w:rPr>
        <w:rFonts w:ascii="Symbol" w:eastAsiaTheme="minorHAnsi" w:hAnsi="Symbol" w:cstheme="minorBidi" w:hint="default"/>
        <w:b w:val="0"/>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8884F0A"/>
    <w:multiLevelType w:val="hybridMultilevel"/>
    <w:tmpl w:val="13DC1FC4"/>
    <w:lvl w:ilvl="0" w:tplc="73F4CF10">
      <w:start w:val="506"/>
      <w:numFmt w:val="bullet"/>
      <w:lvlText w:val=""/>
      <w:lvlJc w:val="left"/>
      <w:pPr>
        <w:ind w:left="720" w:hanging="360"/>
      </w:pPr>
      <w:rPr>
        <w:rFonts w:ascii="Symbol" w:eastAsiaTheme="minorHAnsi" w:hAnsi="Symbol" w:cstheme="minorBidi" w:hint="default"/>
        <w:b w:val="0"/>
        <w:i/>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1"/>
    <w:footnote w:id="0"/>
  </w:footnotePr>
  <w:endnotePr>
    <w:endnote w:id="-1"/>
    <w:endnote w:id="0"/>
  </w:endnotePr>
  <w:compat/>
  <w:rsids>
    <w:rsidRoot w:val="00B63E8E"/>
    <w:rsid w:val="001617D1"/>
    <w:rsid w:val="001A1228"/>
    <w:rsid w:val="001D019C"/>
    <w:rsid w:val="0020035C"/>
    <w:rsid w:val="002A42FC"/>
    <w:rsid w:val="00340E26"/>
    <w:rsid w:val="0034231E"/>
    <w:rsid w:val="00360467"/>
    <w:rsid w:val="003679E8"/>
    <w:rsid w:val="003C202F"/>
    <w:rsid w:val="005022AB"/>
    <w:rsid w:val="005329C1"/>
    <w:rsid w:val="005A4D7F"/>
    <w:rsid w:val="006B39BB"/>
    <w:rsid w:val="0071424C"/>
    <w:rsid w:val="00720651"/>
    <w:rsid w:val="00757500"/>
    <w:rsid w:val="007A4B7D"/>
    <w:rsid w:val="007A54F6"/>
    <w:rsid w:val="007F642C"/>
    <w:rsid w:val="008555E3"/>
    <w:rsid w:val="0085616A"/>
    <w:rsid w:val="008B45F7"/>
    <w:rsid w:val="008C3C53"/>
    <w:rsid w:val="00B01492"/>
    <w:rsid w:val="00B63E8E"/>
    <w:rsid w:val="00D76889"/>
    <w:rsid w:val="00DD4D60"/>
    <w:rsid w:val="00E443EF"/>
    <w:rsid w:val="00E67F8B"/>
    <w:rsid w:val="00F44B2B"/>
    <w:rsid w:val="00F731D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8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63E8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B63E8E"/>
    <w:pPr>
      <w:ind w:left="720"/>
      <w:contextualSpacing/>
    </w:pPr>
  </w:style>
  <w:style w:type="paragraph" w:styleId="Textodeglobo">
    <w:name w:val="Balloon Text"/>
    <w:basedOn w:val="Normal"/>
    <w:link w:val="TextodegloboCar"/>
    <w:uiPriority w:val="99"/>
    <w:semiHidden/>
    <w:unhideWhenUsed/>
    <w:rsid w:val="00B63E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E8E"/>
    <w:rPr>
      <w:rFonts w:ascii="Tahoma" w:hAnsi="Tahoma" w:cs="Tahoma"/>
      <w:sz w:val="16"/>
      <w:szCs w:val="16"/>
    </w:rPr>
  </w:style>
  <w:style w:type="table" w:styleId="Tablaconcuadrcula">
    <w:name w:val="Table Grid"/>
    <w:basedOn w:val="Tablanormal"/>
    <w:uiPriority w:val="39"/>
    <w:rsid w:val="001D01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42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31E"/>
  </w:style>
  <w:style w:type="paragraph" w:styleId="Piedepgina">
    <w:name w:val="footer"/>
    <w:basedOn w:val="Normal"/>
    <w:link w:val="PiedepginaCar"/>
    <w:uiPriority w:val="99"/>
    <w:semiHidden/>
    <w:unhideWhenUsed/>
    <w:rsid w:val="00342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4231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2</cp:revision>
  <cp:lastPrinted>2019-08-07T20:26:00Z</cp:lastPrinted>
  <dcterms:created xsi:type="dcterms:W3CDTF">2019-08-07T22:02:00Z</dcterms:created>
  <dcterms:modified xsi:type="dcterms:W3CDTF">2019-08-07T22:02:00Z</dcterms:modified>
</cp:coreProperties>
</file>