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21" w:rsidRDefault="00FC5821" w:rsidP="00FC5821">
      <w:pPr>
        <w:jc w:val="both"/>
        <w:rPr>
          <w:b/>
        </w:rPr>
      </w:pPr>
      <w:r w:rsidRPr="00CF4053">
        <w:rPr>
          <w:b/>
          <w:noProof/>
          <w:lang w:eastAsia="es-CR"/>
        </w:rPr>
        <w:drawing>
          <wp:inline distT="0" distB="0" distL="0" distR="0">
            <wp:extent cx="5013740" cy="1272845"/>
            <wp:effectExtent l="19050" t="0" r="0" b="0"/>
            <wp:docPr id="1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47" cy="12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821" w:rsidRDefault="00FC5821" w:rsidP="00FC582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SC-CP-</w:t>
      </w:r>
      <w:r w:rsidR="00842601">
        <w:rPr>
          <w:rFonts w:ascii="Calibri" w:hAnsi="Calibri"/>
          <w:color w:val="000000"/>
          <w:sz w:val="28"/>
          <w:szCs w:val="28"/>
          <w:lang w:val="es-ES"/>
        </w:rPr>
        <w:t>30</w:t>
      </w:r>
      <w:r>
        <w:rPr>
          <w:rFonts w:ascii="Calibri" w:hAnsi="Calibri"/>
          <w:color w:val="000000"/>
          <w:sz w:val="28"/>
          <w:szCs w:val="28"/>
          <w:lang w:val="es-ES"/>
        </w:rPr>
        <w:t>0719</w:t>
      </w:r>
    </w:p>
    <w:p w:rsidR="00FC5821" w:rsidRDefault="00FC5821" w:rsidP="00FC582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  <w:lang w:val="es-ES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 xml:space="preserve">San José, </w:t>
      </w:r>
      <w:r w:rsidR="00842601">
        <w:rPr>
          <w:rFonts w:ascii="Calibri" w:hAnsi="Calibri"/>
          <w:color w:val="000000"/>
          <w:sz w:val="28"/>
          <w:szCs w:val="28"/>
          <w:lang w:val="es-ES"/>
        </w:rPr>
        <w:t>30</w:t>
      </w:r>
      <w:r>
        <w:rPr>
          <w:rFonts w:ascii="Calibri" w:hAnsi="Calibri"/>
          <w:color w:val="000000"/>
          <w:sz w:val="28"/>
          <w:szCs w:val="28"/>
          <w:lang w:val="es-ES"/>
        </w:rPr>
        <w:t xml:space="preserve"> de julio de 2019</w:t>
      </w:r>
      <w:bookmarkStart w:id="0" w:name="_GoBack"/>
      <w:bookmarkEnd w:id="0"/>
    </w:p>
    <w:p w:rsidR="00FC5821" w:rsidRPr="00CA6E07" w:rsidRDefault="00FC5821" w:rsidP="00FC58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8"/>
          <w:szCs w:val="18"/>
        </w:rPr>
      </w:pPr>
    </w:p>
    <w:p w:rsidR="00FC5821" w:rsidRPr="00691AA3" w:rsidRDefault="00FC5821" w:rsidP="00FC582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6A9C">
        <w:rPr>
          <w:rFonts w:ascii="Arial" w:hAnsi="Arial" w:cs="Arial"/>
          <w:b/>
          <w:sz w:val="28"/>
          <w:szCs w:val="28"/>
        </w:rPr>
        <w:t>COMUNICADO DE PRENSA</w:t>
      </w:r>
    </w:p>
    <w:p w:rsidR="00FC5821" w:rsidRPr="00691AA3" w:rsidRDefault="00FC5821" w:rsidP="00FC5821">
      <w:pPr>
        <w:jc w:val="center"/>
        <w:rPr>
          <w:rFonts w:ascii="Arial" w:hAnsi="Arial" w:cs="Arial"/>
          <w:b/>
          <w:sz w:val="28"/>
          <w:szCs w:val="28"/>
        </w:rPr>
      </w:pPr>
      <w:r w:rsidRPr="00691AA3">
        <w:rPr>
          <w:rFonts w:ascii="Arial" w:hAnsi="Arial" w:cs="Arial"/>
          <w:b/>
          <w:sz w:val="28"/>
          <w:szCs w:val="28"/>
        </w:rPr>
        <w:t>Sala Constitucional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033E2">
        <w:rPr>
          <w:rFonts w:ascii="Arial" w:hAnsi="Arial" w:cs="Arial"/>
          <w:b/>
          <w:sz w:val="28"/>
          <w:szCs w:val="28"/>
        </w:rPr>
        <w:t>resguarda derecho al aseguramiento de mujer a la que se le negó beneficio por requisito irrazonable</w:t>
      </w:r>
    </w:p>
    <w:p w:rsidR="009E2DE3" w:rsidRPr="00FC5821" w:rsidRDefault="00FC5821" w:rsidP="00FC5821">
      <w:pPr>
        <w:pStyle w:val="Prrafodelista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i/>
          <w:sz w:val="24"/>
          <w:szCs w:val="24"/>
        </w:rPr>
        <w:t>Institución negó “</w:t>
      </w:r>
      <w:r w:rsidRPr="00FC5821">
        <w:rPr>
          <w:rFonts w:ascii="Arial" w:hAnsi="Arial" w:cs="Arial"/>
          <w:i/>
          <w:sz w:val="24"/>
          <w:szCs w:val="24"/>
        </w:rPr>
        <w:t>beneficio familiar</w:t>
      </w:r>
      <w:r>
        <w:rPr>
          <w:rFonts w:ascii="Arial" w:hAnsi="Arial" w:cs="Arial"/>
          <w:i/>
          <w:sz w:val="24"/>
          <w:szCs w:val="24"/>
        </w:rPr>
        <w:t>”</w:t>
      </w:r>
      <w:r w:rsidR="000033E2">
        <w:rPr>
          <w:rFonts w:ascii="Arial" w:hAnsi="Arial" w:cs="Arial"/>
          <w:i/>
          <w:sz w:val="24"/>
          <w:szCs w:val="24"/>
        </w:rPr>
        <w:t xml:space="preserve"> a mujer alegando que e</w:t>
      </w:r>
      <w:r>
        <w:rPr>
          <w:rFonts w:ascii="Arial" w:hAnsi="Arial" w:cs="Arial"/>
          <w:i/>
          <w:sz w:val="24"/>
          <w:szCs w:val="24"/>
        </w:rPr>
        <w:t xml:space="preserve">sta llevaba menos de </w:t>
      </w:r>
      <w:r w:rsidR="00055D69">
        <w:rPr>
          <w:rFonts w:ascii="Arial" w:hAnsi="Arial" w:cs="Arial"/>
          <w:i/>
          <w:sz w:val="24"/>
          <w:szCs w:val="24"/>
        </w:rPr>
        <w:t>tres</w:t>
      </w:r>
      <w:r>
        <w:rPr>
          <w:rFonts w:ascii="Arial" w:hAnsi="Arial" w:cs="Arial"/>
          <w:i/>
          <w:sz w:val="24"/>
          <w:szCs w:val="24"/>
        </w:rPr>
        <w:t xml:space="preserve"> años de convivir con el asegurado</w:t>
      </w:r>
    </w:p>
    <w:p w:rsidR="00FC5821" w:rsidRDefault="00FC5821" w:rsidP="00FC5821">
      <w:pPr>
        <w:spacing w:after="0"/>
        <w:jc w:val="both"/>
      </w:pPr>
    </w:p>
    <w:p w:rsidR="00FC5821" w:rsidRPr="000033E2" w:rsidRDefault="00FC5821" w:rsidP="00FC5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60D" w:rsidRPr="000033E2" w:rsidRDefault="00FC5821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eastAsia="Times New Roman" w:hAnsi="Times New Roman" w:cs="Times New Roman"/>
          <w:color w:val="222222"/>
          <w:sz w:val="24"/>
          <w:szCs w:val="24"/>
          <w:lang w:eastAsia="es-CR"/>
        </w:rPr>
        <w:t xml:space="preserve">La Sala Constitucional, </w:t>
      </w:r>
      <w:r w:rsidRPr="000033E2">
        <w:rPr>
          <w:rFonts w:ascii="Times New Roman" w:hAnsi="Times New Roman" w:cs="Times New Roman"/>
          <w:sz w:val="24"/>
          <w:szCs w:val="24"/>
        </w:rPr>
        <w:t>garante de la dignidad, los derechos y la libertad de las personas, declaró con lugar un recurso de amparo presentado a favor de una mujer a la que la Caja Costarricense del Seguro Social</w:t>
      </w:r>
      <w:r w:rsidR="0075260D" w:rsidRPr="000033E2">
        <w:rPr>
          <w:rFonts w:ascii="Times New Roman" w:hAnsi="Times New Roman" w:cs="Times New Roman"/>
          <w:sz w:val="24"/>
          <w:szCs w:val="24"/>
        </w:rPr>
        <w:t xml:space="preserve"> (CCSS)</w:t>
      </w:r>
      <w:r w:rsidRPr="000033E2">
        <w:rPr>
          <w:rFonts w:ascii="Times New Roman" w:hAnsi="Times New Roman" w:cs="Times New Roman"/>
          <w:sz w:val="24"/>
          <w:szCs w:val="24"/>
        </w:rPr>
        <w:t xml:space="preserve"> </w:t>
      </w:r>
      <w:r w:rsidR="0075260D" w:rsidRPr="000033E2">
        <w:rPr>
          <w:rFonts w:ascii="Times New Roman" w:hAnsi="Times New Roman" w:cs="Times New Roman"/>
          <w:sz w:val="24"/>
          <w:szCs w:val="24"/>
        </w:rPr>
        <w:t>le negó el “beneficio familiar” por no haber vivido al menos tres años en unión libre con su pareja, quien es trabajador asegurado.</w:t>
      </w:r>
    </w:p>
    <w:p w:rsidR="0075260D" w:rsidRPr="000033E2" w:rsidRDefault="0075260D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60D" w:rsidRPr="000033E2" w:rsidRDefault="0075260D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hAnsi="Times New Roman" w:cs="Times New Roman"/>
          <w:sz w:val="24"/>
          <w:szCs w:val="24"/>
        </w:rPr>
        <w:t xml:space="preserve">El "beneficio familiar" es un auxilio de protección que la institución otorga a través del Seguro de Salud a personas no aseguradas, pero que mantienen </w:t>
      </w:r>
      <w:r w:rsidR="000033E2">
        <w:rPr>
          <w:rFonts w:ascii="Times New Roman" w:hAnsi="Times New Roman" w:cs="Times New Roman"/>
          <w:sz w:val="24"/>
          <w:szCs w:val="24"/>
        </w:rPr>
        <w:t>una determinada relación con un</w:t>
      </w:r>
      <w:r w:rsidRPr="000033E2">
        <w:rPr>
          <w:rFonts w:ascii="Times New Roman" w:hAnsi="Times New Roman" w:cs="Times New Roman"/>
          <w:sz w:val="24"/>
          <w:szCs w:val="24"/>
        </w:rPr>
        <w:t xml:space="preserve"> asegurad</w:t>
      </w:r>
      <w:r w:rsidR="000C5844" w:rsidRPr="000033E2">
        <w:rPr>
          <w:rFonts w:ascii="Times New Roman" w:hAnsi="Times New Roman" w:cs="Times New Roman"/>
          <w:sz w:val="24"/>
          <w:szCs w:val="24"/>
        </w:rPr>
        <w:t>o</w:t>
      </w:r>
      <w:r w:rsidRPr="000033E2">
        <w:rPr>
          <w:rFonts w:ascii="Times New Roman" w:hAnsi="Times New Roman" w:cs="Times New Roman"/>
          <w:sz w:val="24"/>
          <w:szCs w:val="24"/>
        </w:rPr>
        <w:t xml:space="preserve"> direct</w:t>
      </w:r>
      <w:r w:rsidR="000C5844" w:rsidRPr="000033E2">
        <w:rPr>
          <w:rFonts w:ascii="Times New Roman" w:hAnsi="Times New Roman" w:cs="Times New Roman"/>
          <w:sz w:val="24"/>
          <w:szCs w:val="24"/>
        </w:rPr>
        <w:t>o</w:t>
      </w:r>
      <w:r w:rsidRPr="000033E2">
        <w:rPr>
          <w:rFonts w:ascii="Times New Roman" w:hAnsi="Times New Roman" w:cs="Times New Roman"/>
          <w:sz w:val="24"/>
          <w:szCs w:val="24"/>
        </w:rPr>
        <w:t>, ya sea por vínculo de c</w:t>
      </w:r>
      <w:r w:rsidR="005B0314" w:rsidRPr="000033E2">
        <w:rPr>
          <w:rFonts w:ascii="Times New Roman" w:hAnsi="Times New Roman" w:cs="Times New Roman"/>
          <w:sz w:val="24"/>
          <w:szCs w:val="24"/>
        </w:rPr>
        <w:t>onsanguinidad, afinidad o legal…</w:t>
      </w:r>
      <w:r w:rsidR="000033E2" w:rsidRPr="000033E2">
        <w:rPr>
          <w:rFonts w:ascii="Times New Roman" w:hAnsi="Times New Roman" w:cs="Times New Roman"/>
          <w:sz w:val="24"/>
          <w:szCs w:val="24"/>
        </w:rPr>
        <w:t>y que dependen económicamente de este.</w:t>
      </w:r>
    </w:p>
    <w:p w:rsidR="005B0314" w:rsidRPr="000033E2" w:rsidRDefault="005B0314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14" w:rsidRDefault="005B0314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hAnsi="Times New Roman" w:cs="Times New Roman"/>
          <w:sz w:val="24"/>
          <w:szCs w:val="24"/>
        </w:rPr>
        <w:t xml:space="preserve">La amparada  vive en </w:t>
      </w:r>
      <w:r w:rsidRPr="00B74233">
        <w:rPr>
          <w:rFonts w:ascii="Times New Roman" w:hAnsi="Times New Roman" w:cs="Times New Roman"/>
          <w:color w:val="000000"/>
          <w:sz w:val="24"/>
          <w:szCs w:val="24"/>
          <w:lang w:eastAsia="es-CR"/>
        </w:rPr>
        <w:t xml:space="preserve">unión de hecho </w:t>
      </w:r>
      <w:r w:rsidRPr="000033E2">
        <w:rPr>
          <w:rFonts w:ascii="Times New Roman" w:hAnsi="Times New Roman" w:cs="Times New Roman"/>
          <w:sz w:val="24"/>
          <w:szCs w:val="24"/>
        </w:rPr>
        <w:t xml:space="preserve">con el asegurado </w:t>
      </w:r>
      <w:r w:rsidRPr="00B74233">
        <w:rPr>
          <w:rFonts w:ascii="Times New Roman" w:hAnsi="Times New Roman" w:cs="Times New Roman"/>
          <w:color w:val="000000"/>
          <w:sz w:val="24"/>
          <w:szCs w:val="24"/>
          <w:lang w:eastAsia="es-CR"/>
        </w:rPr>
        <w:t xml:space="preserve">desde hace un año y diez meses </w:t>
      </w:r>
      <w:r w:rsidRPr="000033E2">
        <w:rPr>
          <w:rFonts w:ascii="Times New Roman" w:hAnsi="Times New Roman" w:cs="Times New Roman"/>
          <w:color w:val="000000"/>
          <w:sz w:val="24"/>
          <w:szCs w:val="24"/>
          <w:lang w:eastAsia="es-CR"/>
        </w:rPr>
        <w:t>e incluso tiene un hijo en común.</w:t>
      </w:r>
      <w:r w:rsidRPr="000033E2">
        <w:rPr>
          <w:rFonts w:ascii="Times New Roman" w:hAnsi="Times New Roman" w:cs="Times New Roman"/>
          <w:sz w:val="24"/>
          <w:szCs w:val="24"/>
        </w:rPr>
        <w:t xml:space="preserve"> Sin embargo, dentro de los requisitos para recibir el auxilio –establecidos en Manual de Adscripción y Beneficio Familiar de la CCSS– se indica que la convivencia en unión libre debe de ser de al menos tres años ininterrumpidos.</w:t>
      </w:r>
    </w:p>
    <w:p w:rsidR="004D4D09" w:rsidRPr="000033E2" w:rsidRDefault="004D4D09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14" w:rsidRPr="000033E2" w:rsidRDefault="005B0314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hAnsi="Times New Roman" w:cs="Times New Roman"/>
          <w:sz w:val="24"/>
          <w:szCs w:val="24"/>
        </w:rPr>
        <w:t>Para la Sala Constitucional</w:t>
      </w:r>
      <w:r w:rsidR="00396F1A" w:rsidRPr="000033E2">
        <w:rPr>
          <w:rFonts w:ascii="Times New Roman" w:hAnsi="Times New Roman" w:cs="Times New Roman"/>
          <w:sz w:val="24"/>
          <w:szCs w:val="24"/>
        </w:rPr>
        <w:t>,  la situación descrita evidencia una flagrante violación al derecho de aseguramiento y atención a la salud de una mujer, por requisitos que resultan irrazonables y desproporcionados que vacían el contenido esencial de derechos fundamentales como la atención a la salud y el trato igual frente a la ley (derecho al aseguramiento).</w:t>
      </w:r>
    </w:p>
    <w:p w:rsidR="005B0314" w:rsidRPr="000033E2" w:rsidRDefault="005B0314" w:rsidP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14" w:rsidRDefault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hAnsi="Times New Roman" w:cs="Times New Roman"/>
          <w:sz w:val="24"/>
          <w:szCs w:val="24"/>
        </w:rPr>
        <w:lastRenderedPageBreak/>
        <w:t xml:space="preserve">“Resulta necesario proteger la seguridad social de excesos en el aseguramiento que afecten el interés general y por lo tanto establecer requisitos razonables como  una cohabitación singular, pública y estable y con dependencia económica de un asegurado directo. No obstante, para efectos del acceso a la atención a la salud en la seguridad social, no resulta razonable exigir un tiempo determinado, porque ello deja en absoluto desamparo y riesgo de muerte a cientos de mujeres en nuestro país, que cohabitan en estas condiciones y que tienen derecho a la atención a la salud”, </w:t>
      </w:r>
      <w:r w:rsidR="004D4D09">
        <w:rPr>
          <w:rFonts w:ascii="Times New Roman" w:hAnsi="Times New Roman" w:cs="Times New Roman"/>
          <w:sz w:val="24"/>
          <w:szCs w:val="24"/>
        </w:rPr>
        <w:t>señala la resolución</w:t>
      </w:r>
      <w:r w:rsidRPr="000033E2">
        <w:rPr>
          <w:rFonts w:ascii="Times New Roman" w:hAnsi="Times New Roman" w:cs="Times New Roman"/>
          <w:sz w:val="24"/>
          <w:szCs w:val="24"/>
        </w:rPr>
        <w:t>.</w:t>
      </w:r>
    </w:p>
    <w:p w:rsidR="00E04068" w:rsidRPr="00E04068" w:rsidRDefault="00E04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068" w:rsidRPr="00E04068" w:rsidRDefault="00E04068" w:rsidP="00E04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068">
        <w:rPr>
          <w:rFonts w:ascii="Times New Roman" w:hAnsi="Times New Roman" w:cs="Times New Roman"/>
          <w:sz w:val="24"/>
          <w:szCs w:val="24"/>
        </w:rPr>
        <w:t>En este recurso, la Defensoría de los Habitantes</w:t>
      </w:r>
      <w:r w:rsidR="00745BF4">
        <w:rPr>
          <w:rFonts w:ascii="Times New Roman" w:hAnsi="Times New Roman" w:cs="Times New Roman"/>
          <w:sz w:val="24"/>
          <w:szCs w:val="24"/>
        </w:rPr>
        <w:t xml:space="preserve"> y</w:t>
      </w:r>
      <w:r w:rsidR="00086B4F">
        <w:rPr>
          <w:rFonts w:ascii="Times New Roman" w:hAnsi="Times New Roman" w:cs="Times New Roman"/>
          <w:sz w:val="24"/>
          <w:szCs w:val="24"/>
        </w:rPr>
        <w:t xml:space="preserve"> el</w:t>
      </w:r>
      <w:r w:rsidR="00745BF4">
        <w:rPr>
          <w:rFonts w:ascii="Times New Roman" w:hAnsi="Times New Roman" w:cs="Times New Roman"/>
          <w:sz w:val="24"/>
          <w:szCs w:val="24"/>
        </w:rPr>
        <w:t xml:space="preserve"> Instituto Nacional de las Mujeres </w:t>
      </w:r>
      <w:r w:rsidRPr="00E04068">
        <w:rPr>
          <w:rFonts w:ascii="Times New Roman" w:hAnsi="Times New Roman" w:cs="Times New Roman"/>
          <w:sz w:val="24"/>
          <w:szCs w:val="24"/>
        </w:rPr>
        <w:t>particip</w:t>
      </w:r>
      <w:r w:rsidR="00745BF4">
        <w:rPr>
          <w:rFonts w:ascii="Times New Roman" w:hAnsi="Times New Roman" w:cs="Times New Roman"/>
          <w:sz w:val="24"/>
          <w:szCs w:val="24"/>
        </w:rPr>
        <w:t xml:space="preserve">aron </w:t>
      </w:r>
      <w:r w:rsidRPr="00E04068">
        <w:rPr>
          <w:rFonts w:ascii="Times New Roman" w:hAnsi="Times New Roman" w:cs="Times New Roman"/>
          <w:sz w:val="24"/>
          <w:szCs w:val="24"/>
        </w:rPr>
        <w:t>como coadyuvante</w:t>
      </w:r>
      <w:r w:rsidR="00745BF4">
        <w:rPr>
          <w:rFonts w:ascii="Times New Roman" w:hAnsi="Times New Roman" w:cs="Times New Roman"/>
          <w:sz w:val="24"/>
          <w:szCs w:val="24"/>
        </w:rPr>
        <w:t>s</w:t>
      </w:r>
      <w:r w:rsidRPr="00E04068">
        <w:rPr>
          <w:rFonts w:ascii="Times New Roman" w:hAnsi="Times New Roman" w:cs="Times New Roman"/>
          <w:sz w:val="24"/>
          <w:szCs w:val="24"/>
        </w:rPr>
        <w:t>; los magistrados y magistradas acogieron el informe que presentó</w:t>
      </w:r>
      <w:r w:rsidR="00745BF4">
        <w:rPr>
          <w:rFonts w:ascii="Times New Roman" w:hAnsi="Times New Roman" w:cs="Times New Roman"/>
          <w:sz w:val="24"/>
          <w:szCs w:val="24"/>
        </w:rPr>
        <w:t xml:space="preserve"> el órgano defensor y coincidieron con todos</w:t>
      </w:r>
      <w:r w:rsidR="00745BF4" w:rsidRPr="00E04068">
        <w:rPr>
          <w:rFonts w:ascii="Times New Roman" w:hAnsi="Times New Roman" w:cs="Times New Roman"/>
          <w:sz w:val="24"/>
          <w:szCs w:val="24"/>
        </w:rPr>
        <w:t xml:space="preserve"> los argumentos expuestos</w:t>
      </w:r>
      <w:r w:rsidRPr="00E04068">
        <w:rPr>
          <w:rFonts w:ascii="Times New Roman" w:hAnsi="Times New Roman" w:cs="Times New Roman"/>
          <w:sz w:val="24"/>
          <w:szCs w:val="24"/>
        </w:rPr>
        <w:t>.</w:t>
      </w:r>
      <w:r w:rsidR="00745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F1A" w:rsidRPr="000033E2" w:rsidRDefault="00396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6F1A" w:rsidRDefault="000033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3E2">
        <w:rPr>
          <w:rFonts w:ascii="Times New Roman" w:hAnsi="Times New Roman" w:cs="Times New Roman"/>
          <w:sz w:val="24"/>
          <w:szCs w:val="24"/>
        </w:rPr>
        <w:t xml:space="preserve">En conclusión, </w:t>
      </w:r>
      <w:r w:rsidR="00461FE2">
        <w:rPr>
          <w:rFonts w:ascii="Times New Roman" w:hAnsi="Times New Roman" w:cs="Times New Roman"/>
          <w:sz w:val="24"/>
          <w:szCs w:val="24"/>
        </w:rPr>
        <w:t>en la sentencia número 2019-12758 del viernes 12 de julio,</w:t>
      </w:r>
      <w:r w:rsidR="00461FE2" w:rsidRPr="00461FE2">
        <w:rPr>
          <w:rFonts w:ascii="Times New Roman" w:hAnsi="Times New Roman" w:cs="Times New Roman"/>
          <w:sz w:val="24"/>
          <w:szCs w:val="24"/>
        </w:rPr>
        <w:t xml:space="preserve"> </w:t>
      </w:r>
      <w:r w:rsidR="00461FE2" w:rsidRPr="000033E2">
        <w:rPr>
          <w:rFonts w:ascii="Times New Roman" w:hAnsi="Times New Roman" w:cs="Times New Roman"/>
          <w:sz w:val="24"/>
          <w:szCs w:val="24"/>
        </w:rPr>
        <w:t>la Sala ordena</w:t>
      </w:r>
      <w:r w:rsidRPr="000033E2">
        <w:rPr>
          <w:rFonts w:ascii="Times New Roman" w:hAnsi="Times New Roman" w:cs="Times New Roman"/>
          <w:sz w:val="24"/>
          <w:szCs w:val="24"/>
        </w:rPr>
        <w:t xml:space="preserve"> a la institución recurrida</w:t>
      </w:r>
      <w:r w:rsidR="00461FE2">
        <w:rPr>
          <w:rFonts w:ascii="Times New Roman" w:hAnsi="Times New Roman" w:cs="Times New Roman"/>
          <w:sz w:val="24"/>
          <w:szCs w:val="24"/>
        </w:rPr>
        <w:t xml:space="preserve"> </w:t>
      </w:r>
      <w:r w:rsidRPr="000033E2">
        <w:rPr>
          <w:rFonts w:ascii="Times New Roman" w:hAnsi="Times New Roman" w:cs="Times New Roman"/>
          <w:sz w:val="24"/>
          <w:szCs w:val="24"/>
        </w:rPr>
        <w:t xml:space="preserve"> resolver la solicitud de aseguramiento a favor de la amparada  sin tomar en consideración el requisito de tiempo de convivencia en unión de hecho.</w:t>
      </w:r>
    </w:p>
    <w:p w:rsidR="001C25BF" w:rsidRDefault="001C2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5BF" w:rsidRPr="00481142" w:rsidRDefault="001C25BF" w:rsidP="001C25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905"/>
      </w:tblGrid>
      <w:tr w:rsidR="001C25BF" w:rsidRPr="00481142" w:rsidTr="00934048">
        <w:tc>
          <w:tcPr>
            <w:tcW w:w="2093" w:type="dxa"/>
            <w:shd w:val="clear" w:color="auto" w:fill="C6D9F1" w:themeFill="text2" w:themeFillTint="33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Número de fallo:</w:t>
            </w:r>
          </w:p>
        </w:tc>
        <w:tc>
          <w:tcPr>
            <w:tcW w:w="6905" w:type="dxa"/>
          </w:tcPr>
          <w:p w:rsidR="001C25BF" w:rsidRPr="00481142" w:rsidRDefault="001C25BF" w:rsidP="001C2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2019-00127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1C25BF" w:rsidRPr="00481142" w:rsidTr="00934048">
        <w:tc>
          <w:tcPr>
            <w:tcW w:w="2093" w:type="dxa"/>
            <w:shd w:val="clear" w:color="auto" w:fill="C6D9F1" w:themeFill="text2" w:themeFillTint="33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Fecha de votación:</w:t>
            </w:r>
          </w:p>
        </w:tc>
        <w:tc>
          <w:tcPr>
            <w:tcW w:w="6905" w:type="dxa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 xml:space="preserve"> de julio</w:t>
            </w:r>
          </w:p>
        </w:tc>
      </w:tr>
      <w:tr w:rsidR="00934048" w:rsidRPr="00481142" w:rsidTr="00934048">
        <w:tc>
          <w:tcPr>
            <w:tcW w:w="2093" w:type="dxa"/>
            <w:shd w:val="clear" w:color="auto" w:fill="C6D9F1" w:themeFill="text2" w:themeFillTint="33"/>
          </w:tcPr>
          <w:p w:rsidR="00934048" w:rsidRDefault="00934048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presentación del recurso</w:t>
            </w:r>
          </w:p>
        </w:tc>
        <w:tc>
          <w:tcPr>
            <w:tcW w:w="6905" w:type="dxa"/>
          </w:tcPr>
          <w:p w:rsidR="00934048" w:rsidRDefault="00934048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de junio</w:t>
            </w:r>
          </w:p>
        </w:tc>
      </w:tr>
      <w:tr w:rsidR="001C25BF" w:rsidRPr="00481142" w:rsidTr="00934048">
        <w:tc>
          <w:tcPr>
            <w:tcW w:w="2093" w:type="dxa"/>
            <w:shd w:val="clear" w:color="auto" w:fill="C6D9F1" w:themeFill="text2" w:themeFillTint="33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Institución recurrida</w:t>
            </w: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905" w:type="dxa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Caja Costarricense del Seguro Social</w:t>
            </w:r>
          </w:p>
        </w:tc>
      </w:tr>
      <w:tr w:rsidR="001C25BF" w:rsidRPr="00481142" w:rsidTr="00934048">
        <w:tc>
          <w:tcPr>
            <w:tcW w:w="2093" w:type="dxa"/>
            <w:shd w:val="clear" w:color="auto" w:fill="D9D9D9" w:themeFill="background1" w:themeFillShade="D9"/>
          </w:tcPr>
          <w:p w:rsidR="001C25BF" w:rsidRPr="00481142" w:rsidRDefault="001C25BF" w:rsidP="00721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142">
              <w:rPr>
                <w:rFonts w:ascii="Times New Roman" w:hAnsi="Times New Roman" w:cs="Times New Roman"/>
                <w:sz w:val="18"/>
                <w:szCs w:val="18"/>
              </w:rPr>
              <w:t>Conformación del tribunal:</w:t>
            </w:r>
          </w:p>
        </w:tc>
        <w:tc>
          <w:tcPr>
            <w:tcW w:w="6905" w:type="dxa"/>
          </w:tcPr>
          <w:p w:rsidR="001C25BF" w:rsidRPr="001C25BF" w:rsidRDefault="001C25BF" w:rsidP="001C25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</w:pPr>
            <w:r w:rsidRPr="00481142"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>Fernando Castillo Víquez, quien preside, Nancy Hernández López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, </w:t>
            </w:r>
            <w:r w:rsidRPr="00481142"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Jorge Araya García,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>y los suplentes Alicia Salas,</w:t>
            </w:r>
            <w:r w:rsidR="00055D69"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 Lucila Monge,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 Mauricio Chacón 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>Hubert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R"/>
              </w:rPr>
              <w:t xml:space="preserve"> Fernández.</w:t>
            </w:r>
          </w:p>
        </w:tc>
      </w:tr>
    </w:tbl>
    <w:p w:rsidR="001C25BF" w:rsidRDefault="001C25BF" w:rsidP="001C25BF"/>
    <w:p w:rsidR="001C25BF" w:rsidRDefault="001C25BF" w:rsidP="001C25BF"/>
    <w:p w:rsidR="001C25BF" w:rsidRDefault="001C25BF" w:rsidP="001C2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R"/>
        </w:rPr>
        <w:drawing>
          <wp:inline distT="0" distB="0" distL="0" distR="0">
            <wp:extent cx="2012484" cy="1879558"/>
            <wp:effectExtent l="19050" t="0" r="6816" b="0"/>
            <wp:docPr id="13" name="Imagen 8" descr="C:\Users\amatab\Desktop\Logo_Sala_Constitucional_30A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atab\Desktop\Logo_Sala_Constitucional_30AN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2" cy="187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5BF" w:rsidRDefault="001C25BF" w:rsidP="001C25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Constitucional</w:t>
      </w:r>
    </w:p>
    <w:p w:rsidR="001C25BF" w:rsidRPr="00481142" w:rsidRDefault="001C25BF" w:rsidP="001C25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Garante de la dignidad, los derechos y libertad de las personas</w:t>
      </w:r>
    </w:p>
    <w:p w:rsidR="001C25BF" w:rsidRPr="000033E2" w:rsidRDefault="001C2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C25BF" w:rsidRPr="000033E2" w:rsidSect="00B34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70E"/>
    <w:multiLevelType w:val="hybridMultilevel"/>
    <w:tmpl w:val="12F6DB26"/>
    <w:lvl w:ilvl="0" w:tplc="AA227AB6">
      <w:start w:val="5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C5821"/>
    <w:rsid w:val="000033E2"/>
    <w:rsid w:val="00055D69"/>
    <w:rsid w:val="000623D0"/>
    <w:rsid w:val="00086B4F"/>
    <w:rsid w:val="000C5844"/>
    <w:rsid w:val="001C25BF"/>
    <w:rsid w:val="00340E26"/>
    <w:rsid w:val="00366217"/>
    <w:rsid w:val="00396F1A"/>
    <w:rsid w:val="00461FE2"/>
    <w:rsid w:val="004D4D09"/>
    <w:rsid w:val="005B0314"/>
    <w:rsid w:val="00745BF4"/>
    <w:rsid w:val="0075260D"/>
    <w:rsid w:val="00842601"/>
    <w:rsid w:val="008555E3"/>
    <w:rsid w:val="00934048"/>
    <w:rsid w:val="00944866"/>
    <w:rsid w:val="00B349F1"/>
    <w:rsid w:val="00CA3E57"/>
    <w:rsid w:val="00CB2E2D"/>
    <w:rsid w:val="00CC1755"/>
    <w:rsid w:val="00E04068"/>
    <w:rsid w:val="00FC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FC58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8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C2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6</cp:revision>
  <cp:lastPrinted>2019-07-30T17:57:00Z</cp:lastPrinted>
  <dcterms:created xsi:type="dcterms:W3CDTF">2019-07-30T18:41:00Z</dcterms:created>
  <dcterms:modified xsi:type="dcterms:W3CDTF">2019-08-07T20:12:00Z</dcterms:modified>
</cp:coreProperties>
</file>