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598" w:rsidRDefault="00AE3598" w:rsidP="00AE3598">
      <w:pPr>
        <w:spacing w:line="240" w:lineRule="auto"/>
        <w:rPr>
          <w:rFonts w:ascii="Arial" w:hAnsi="Arial" w:cs="Arial"/>
          <w:b/>
          <w:sz w:val="28"/>
          <w:szCs w:val="28"/>
        </w:rPr>
      </w:pPr>
      <w:r>
        <w:rPr>
          <w:rFonts w:ascii="Arial" w:hAnsi="Arial" w:cs="Arial"/>
          <w:b/>
          <w:noProof/>
          <w:sz w:val="28"/>
          <w:szCs w:val="28"/>
          <w:lang w:eastAsia="es-CR"/>
        </w:rPr>
        <w:drawing>
          <wp:inline distT="0" distB="0" distL="0" distR="0">
            <wp:extent cx="5013740" cy="1272845"/>
            <wp:effectExtent l="19050" t="0" r="0" b="0"/>
            <wp:docPr id="1" name="Imagen 1" descr="C:\Users\amatab\Deskto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tab\Desktop\image001.jpg"/>
                    <pic:cNvPicPr>
                      <a:picLocks noChangeAspect="1" noChangeArrowheads="1"/>
                    </pic:cNvPicPr>
                  </pic:nvPicPr>
                  <pic:blipFill>
                    <a:blip r:embed="rId8"/>
                    <a:srcRect/>
                    <a:stretch>
                      <a:fillRect/>
                    </a:stretch>
                  </pic:blipFill>
                  <pic:spPr bwMode="auto">
                    <a:xfrm>
                      <a:off x="0" y="0"/>
                      <a:ext cx="5013740" cy="1272845"/>
                    </a:xfrm>
                    <a:prstGeom prst="rect">
                      <a:avLst/>
                    </a:prstGeom>
                    <a:noFill/>
                    <a:ln w="9525">
                      <a:noFill/>
                      <a:miter lim="800000"/>
                      <a:headEnd/>
                      <a:tailEnd/>
                    </a:ln>
                  </pic:spPr>
                </pic:pic>
              </a:graphicData>
            </a:graphic>
          </wp:inline>
        </w:drawing>
      </w:r>
    </w:p>
    <w:p w:rsidR="00AE3598" w:rsidRDefault="00AE3598" w:rsidP="00AE3598">
      <w:pPr>
        <w:pStyle w:val="NormalWeb"/>
        <w:shd w:val="clear" w:color="auto" w:fill="FFFFFF"/>
        <w:spacing w:before="0" w:beforeAutospacing="0" w:after="0" w:afterAutospacing="0"/>
        <w:jc w:val="right"/>
        <w:rPr>
          <w:rFonts w:ascii="Calibri" w:hAnsi="Calibri"/>
          <w:color w:val="000000"/>
          <w:sz w:val="18"/>
          <w:szCs w:val="18"/>
        </w:rPr>
      </w:pPr>
      <w:r>
        <w:rPr>
          <w:rFonts w:ascii="Calibri" w:hAnsi="Calibri"/>
          <w:color w:val="000000"/>
          <w:sz w:val="28"/>
          <w:szCs w:val="28"/>
          <w:lang w:val="es-ES"/>
        </w:rPr>
        <w:t>SC-CP-</w:t>
      </w:r>
      <w:r w:rsidR="004E7668">
        <w:rPr>
          <w:rFonts w:ascii="Calibri" w:hAnsi="Calibri"/>
          <w:color w:val="000000"/>
          <w:sz w:val="28"/>
          <w:szCs w:val="28"/>
          <w:lang w:val="es-ES"/>
        </w:rPr>
        <w:t>30</w:t>
      </w:r>
      <w:r>
        <w:rPr>
          <w:rFonts w:ascii="Calibri" w:hAnsi="Calibri"/>
          <w:color w:val="000000"/>
          <w:sz w:val="28"/>
          <w:szCs w:val="28"/>
          <w:lang w:val="es-ES"/>
        </w:rPr>
        <w:t>0519</w:t>
      </w:r>
    </w:p>
    <w:p w:rsidR="00AE3598" w:rsidRDefault="00AE3598" w:rsidP="00AE3598">
      <w:pPr>
        <w:pStyle w:val="NormalWeb"/>
        <w:shd w:val="clear" w:color="auto" w:fill="FFFFFF"/>
        <w:spacing w:before="0" w:beforeAutospacing="0" w:after="0" w:afterAutospacing="0"/>
        <w:jc w:val="right"/>
        <w:rPr>
          <w:rFonts w:ascii="Calibri" w:hAnsi="Calibri"/>
          <w:color w:val="000000"/>
          <w:sz w:val="18"/>
          <w:szCs w:val="18"/>
        </w:rPr>
      </w:pPr>
      <w:r>
        <w:rPr>
          <w:rFonts w:ascii="Calibri" w:hAnsi="Calibri"/>
          <w:color w:val="000000"/>
          <w:sz w:val="28"/>
          <w:szCs w:val="28"/>
          <w:lang w:val="es-ES"/>
        </w:rPr>
        <w:t xml:space="preserve">San José, </w:t>
      </w:r>
      <w:r w:rsidR="009624A4">
        <w:rPr>
          <w:rFonts w:ascii="Calibri" w:hAnsi="Calibri"/>
          <w:color w:val="000000"/>
          <w:sz w:val="28"/>
          <w:szCs w:val="28"/>
          <w:lang w:val="es-ES"/>
        </w:rPr>
        <w:t>30</w:t>
      </w:r>
      <w:r>
        <w:rPr>
          <w:rFonts w:ascii="Calibri" w:hAnsi="Calibri"/>
          <w:color w:val="000000"/>
          <w:sz w:val="28"/>
          <w:szCs w:val="28"/>
          <w:lang w:val="es-ES"/>
        </w:rPr>
        <w:t xml:space="preserve"> de mayo de 2019</w:t>
      </w:r>
    </w:p>
    <w:p w:rsidR="00AE3598" w:rsidRPr="005F5B69" w:rsidRDefault="00AE3598" w:rsidP="00AE3598">
      <w:pPr>
        <w:spacing w:line="240" w:lineRule="auto"/>
        <w:jc w:val="both"/>
        <w:rPr>
          <w:rFonts w:ascii="Arial" w:hAnsi="Arial" w:cs="Arial"/>
          <w:b/>
          <w:sz w:val="24"/>
          <w:szCs w:val="24"/>
        </w:rPr>
      </w:pPr>
    </w:p>
    <w:p w:rsidR="00AE3598" w:rsidRDefault="00AE3598" w:rsidP="00AE3598">
      <w:pPr>
        <w:spacing w:line="240" w:lineRule="auto"/>
        <w:jc w:val="center"/>
        <w:rPr>
          <w:rFonts w:ascii="Arial" w:hAnsi="Arial" w:cs="Arial"/>
          <w:b/>
          <w:sz w:val="28"/>
          <w:szCs w:val="28"/>
        </w:rPr>
      </w:pPr>
      <w:r w:rsidRPr="005F5B69">
        <w:rPr>
          <w:rFonts w:ascii="Arial" w:hAnsi="Arial" w:cs="Arial"/>
          <w:b/>
          <w:sz w:val="28"/>
          <w:szCs w:val="28"/>
        </w:rPr>
        <w:t>COMUNICADO DE PRENSA</w:t>
      </w:r>
    </w:p>
    <w:p w:rsidR="00AE3598" w:rsidRPr="00FA7B37" w:rsidRDefault="001F2956" w:rsidP="001F2956">
      <w:pPr>
        <w:spacing w:line="240" w:lineRule="atLeast"/>
        <w:jc w:val="both"/>
        <w:rPr>
          <w:rFonts w:ascii="Arial" w:hAnsi="Arial" w:cs="Arial"/>
          <w:i/>
          <w:sz w:val="24"/>
          <w:szCs w:val="24"/>
        </w:rPr>
      </w:pPr>
      <w:r>
        <w:rPr>
          <w:rFonts w:ascii="Arial" w:hAnsi="Arial" w:cs="Arial"/>
          <w:b/>
          <w:sz w:val="24"/>
          <w:szCs w:val="24"/>
        </w:rPr>
        <w:t xml:space="preserve">          </w:t>
      </w:r>
      <w:r w:rsidR="00005B05">
        <w:rPr>
          <w:rFonts w:ascii="Arial" w:hAnsi="Arial" w:cs="Arial"/>
          <w:i/>
          <w:sz w:val="24"/>
          <w:szCs w:val="24"/>
        </w:rPr>
        <w:t>N</w:t>
      </w:r>
      <w:r w:rsidR="00AE3598" w:rsidRPr="00FA7B37">
        <w:rPr>
          <w:rFonts w:ascii="Arial" w:hAnsi="Arial" w:cs="Arial"/>
          <w:i/>
          <w:sz w:val="24"/>
          <w:szCs w:val="24"/>
        </w:rPr>
        <w:t>uevas sentencias</w:t>
      </w:r>
    </w:p>
    <w:p w:rsidR="00AE3598" w:rsidRPr="005F5B69" w:rsidRDefault="00AE3598" w:rsidP="001F2956">
      <w:pPr>
        <w:spacing w:line="240" w:lineRule="atLeast"/>
        <w:jc w:val="center"/>
        <w:rPr>
          <w:rFonts w:ascii="Arial" w:hAnsi="Arial" w:cs="Arial"/>
          <w:b/>
          <w:sz w:val="28"/>
          <w:szCs w:val="28"/>
        </w:rPr>
      </w:pPr>
      <w:r w:rsidRPr="005F5B69">
        <w:rPr>
          <w:rFonts w:ascii="Arial" w:hAnsi="Arial" w:cs="Arial"/>
          <w:b/>
          <w:sz w:val="28"/>
          <w:szCs w:val="28"/>
        </w:rPr>
        <w:t xml:space="preserve">Sala Constitucional </w:t>
      </w:r>
      <w:r>
        <w:rPr>
          <w:rFonts w:ascii="Arial" w:hAnsi="Arial" w:cs="Arial"/>
          <w:b/>
          <w:sz w:val="28"/>
          <w:szCs w:val="28"/>
        </w:rPr>
        <w:t xml:space="preserve">anula </w:t>
      </w:r>
      <w:r w:rsidR="000F57A1">
        <w:rPr>
          <w:rFonts w:ascii="Arial" w:hAnsi="Arial" w:cs="Arial"/>
          <w:b/>
          <w:sz w:val="28"/>
          <w:szCs w:val="28"/>
        </w:rPr>
        <w:t>auxilio de</w:t>
      </w:r>
      <w:r>
        <w:rPr>
          <w:rFonts w:ascii="Arial" w:hAnsi="Arial" w:cs="Arial"/>
          <w:b/>
          <w:sz w:val="28"/>
          <w:szCs w:val="28"/>
        </w:rPr>
        <w:t xml:space="preserve"> cesantía superior a 12 años</w:t>
      </w:r>
      <w:r w:rsidR="000F57A1">
        <w:rPr>
          <w:rFonts w:ascii="Arial" w:hAnsi="Arial" w:cs="Arial"/>
          <w:b/>
          <w:sz w:val="28"/>
          <w:szCs w:val="28"/>
        </w:rPr>
        <w:t xml:space="preserve"> en </w:t>
      </w:r>
      <w:r w:rsidR="00E57B0C">
        <w:rPr>
          <w:rFonts w:ascii="Arial" w:hAnsi="Arial" w:cs="Arial"/>
          <w:b/>
          <w:sz w:val="28"/>
          <w:szCs w:val="28"/>
        </w:rPr>
        <w:t>Universidad Nacional y dos municipalidades</w:t>
      </w:r>
    </w:p>
    <w:p w:rsidR="000F57A1" w:rsidRPr="00EC0085" w:rsidRDefault="00E57B0C" w:rsidP="00AE3598">
      <w:pPr>
        <w:pStyle w:val="Prrafodelista"/>
        <w:numPr>
          <w:ilvl w:val="0"/>
          <w:numId w:val="1"/>
        </w:numPr>
        <w:spacing w:line="240" w:lineRule="auto"/>
        <w:jc w:val="both"/>
        <w:rPr>
          <w:rFonts w:ascii="Arial" w:hAnsi="Arial" w:cs="Arial"/>
          <w:sz w:val="24"/>
          <w:szCs w:val="24"/>
        </w:rPr>
      </w:pPr>
      <w:r>
        <w:rPr>
          <w:rFonts w:ascii="Times New Roman" w:hAnsi="Times New Roman" w:cs="Times New Roman"/>
          <w:i/>
          <w:sz w:val="24"/>
          <w:szCs w:val="24"/>
        </w:rPr>
        <w:t>Convención Colectiva de la</w:t>
      </w:r>
      <w:r w:rsidR="00FA7B37" w:rsidRPr="000F57A1">
        <w:rPr>
          <w:rFonts w:ascii="Times New Roman" w:hAnsi="Times New Roman" w:cs="Times New Roman"/>
          <w:i/>
          <w:sz w:val="24"/>
          <w:szCs w:val="24"/>
        </w:rPr>
        <w:t xml:space="preserve"> Municipalidad de </w:t>
      </w:r>
      <w:r w:rsidR="00CC0684">
        <w:rPr>
          <w:rFonts w:ascii="Times New Roman" w:hAnsi="Times New Roman" w:cs="Times New Roman"/>
          <w:i/>
          <w:sz w:val="24"/>
          <w:szCs w:val="24"/>
        </w:rPr>
        <w:t>Santa Cruz</w:t>
      </w:r>
      <w:r>
        <w:rPr>
          <w:rFonts w:ascii="Times New Roman" w:hAnsi="Times New Roman" w:cs="Times New Roman"/>
          <w:i/>
          <w:sz w:val="24"/>
          <w:szCs w:val="24"/>
        </w:rPr>
        <w:t xml:space="preserve"> </w:t>
      </w:r>
      <w:r w:rsidR="003E158D">
        <w:rPr>
          <w:rFonts w:ascii="Times New Roman" w:hAnsi="Times New Roman" w:cs="Times New Roman"/>
          <w:i/>
          <w:sz w:val="24"/>
          <w:szCs w:val="24"/>
        </w:rPr>
        <w:t>reconoce</w:t>
      </w:r>
      <w:r w:rsidR="00FA7B37" w:rsidRPr="000F57A1">
        <w:rPr>
          <w:rFonts w:ascii="Times New Roman" w:hAnsi="Times New Roman" w:cs="Times New Roman"/>
          <w:i/>
          <w:sz w:val="24"/>
          <w:szCs w:val="24"/>
        </w:rPr>
        <w:t xml:space="preserve"> auxilio de cesantía </w:t>
      </w:r>
      <w:r w:rsidR="003E158D">
        <w:rPr>
          <w:rFonts w:ascii="Times New Roman" w:hAnsi="Times New Roman" w:cs="Times New Roman"/>
          <w:i/>
          <w:sz w:val="24"/>
          <w:szCs w:val="24"/>
        </w:rPr>
        <w:t>sin tope;</w:t>
      </w:r>
      <w:r w:rsidR="00FA7B37" w:rsidRPr="000F57A1">
        <w:rPr>
          <w:rFonts w:ascii="Times New Roman" w:hAnsi="Times New Roman" w:cs="Times New Roman"/>
          <w:i/>
          <w:sz w:val="24"/>
          <w:szCs w:val="24"/>
        </w:rPr>
        <w:t xml:space="preserve"> en la </w:t>
      </w:r>
      <w:r w:rsidR="000F57A1" w:rsidRPr="000F57A1">
        <w:rPr>
          <w:rFonts w:ascii="Times New Roman" w:hAnsi="Times New Roman" w:cs="Times New Roman"/>
          <w:i/>
          <w:sz w:val="24"/>
          <w:szCs w:val="24"/>
        </w:rPr>
        <w:t xml:space="preserve">de Coronado es de 30 años, en la </w:t>
      </w:r>
      <w:r w:rsidR="00FA7B37" w:rsidRPr="000F57A1">
        <w:rPr>
          <w:rFonts w:ascii="Times New Roman" w:hAnsi="Times New Roman" w:cs="Times New Roman"/>
          <w:i/>
          <w:sz w:val="24"/>
          <w:szCs w:val="24"/>
        </w:rPr>
        <w:t>U</w:t>
      </w:r>
      <w:r w:rsidR="000F57A1" w:rsidRPr="000F57A1">
        <w:rPr>
          <w:rFonts w:ascii="Times New Roman" w:hAnsi="Times New Roman" w:cs="Times New Roman"/>
          <w:i/>
          <w:sz w:val="24"/>
          <w:szCs w:val="24"/>
        </w:rPr>
        <w:t>NA es</w:t>
      </w:r>
      <w:r w:rsidR="000F57A1">
        <w:rPr>
          <w:rFonts w:ascii="Times New Roman" w:hAnsi="Times New Roman" w:cs="Times New Roman"/>
          <w:i/>
          <w:sz w:val="24"/>
          <w:szCs w:val="24"/>
        </w:rPr>
        <w:t xml:space="preserve"> de 20.</w:t>
      </w:r>
    </w:p>
    <w:p w:rsidR="00AE3598" w:rsidRPr="008B5B9B" w:rsidRDefault="00AE3598" w:rsidP="00AE3598">
      <w:pPr>
        <w:spacing w:line="240" w:lineRule="auto"/>
        <w:jc w:val="both"/>
        <w:rPr>
          <w:rFonts w:ascii="Times New Roman" w:hAnsi="Times New Roman" w:cs="Times New Roman"/>
          <w:sz w:val="24"/>
          <w:szCs w:val="24"/>
        </w:rPr>
      </w:pPr>
      <w:r w:rsidRPr="008B5B9B">
        <w:rPr>
          <w:rFonts w:ascii="Times New Roman" w:hAnsi="Times New Roman" w:cs="Times New Roman"/>
          <w:sz w:val="24"/>
          <w:szCs w:val="24"/>
        </w:rPr>
        <w:t xml:space="preserve">La Sala Constitucional, con fundamento en los principios de razonabilidad y proporcionalidad, </w:t>
      </w:r>
      <w:r w:rsidR="00DE681E" w:rsidRPr="008B5B9B">
        <w:rPr>
          <w:rFonts w:ascii="Times New Roman" w:hAnsi="Times New Roman" w:cs="Times New Roman"/>
          <w:sz w:val="24"/>
          <w:szCs w:val="24"/>
        </w:rPr>
        <w:t>anuló las disposiciones contenidas en las Convenciones Colectivas de Trabajo de dos municipalidades y una universidad pública que permit</w:t>
      </w:r>
      <w:r w:rsidR="00B82954" w:rsidRPr="008B5B9B">
        <w:rPr>
          <w:rFonts w:ascii="Times New Roman" w:hAnsi="Times New Roman" w:cs="Times New Roman"/>
          <w:sz w:val="24"/>
          <w:szCs w:val="24"/>
        </w:rPr>
        <w:t>en</w:t>
      </w:r>
      <w:r w:rsidR="00DE681E" w:rsidRPr="008B5B9B">
        <w:rPr>
          <w:rFonts w:ascii="Times New Roman" w:hAnsi="Times New Roman" w:cs="Times New Roman"/>
          <w:sz w:val="24"/>
          <w:szCs w:val="24"/>
        </w:rPr>
        <w:t xml:space="preserve"> el pago de auxilio de cesantía superior a los 12 años, </w:t>
      </w:r>
      <w:r w:rsidR="004E7668" w:rsidRPr="008B5B9B">
        <w:rPr>
          <w:rFonts w:ascii="Times New Roman" w:hAnsi="Times New Roman" w:cs="Times New Roman"/>
          <w:sz w:val="24"/>
          <w:szCs w:val="24"/>
        </w:rPr>
        <w:t>plazo que</w:t>
      </w:r>
      <w:r w:rsidR="00DE681E" w:rsidRPr="008B5B9B">
        <w:rPr>
          <w:rFonts w:ascii="Times New Roman" w:hAnsi="Times New Roman" w:cs="Times New Roman"/>
          <w:sz w:val="24"/>
          <w:szCs w:val="24"/>
        </w:rPr>
        <w:t xml:space="preserve"> la línea jurisprudencial de este Tribunal</w:t>
      </w:r>
      <w:r w:rsidR="004E7668" w:rsidRPr="008B5B9B">
        <w:rPr>
          <w:rFonts w:ascii="Times New Roman" w:hAnsi="Times New Roman" w:cs="Times New Roman"/>
          <w:sz w:val="24"/>
          <w:szCs w:val="24"/>
        </w:rPr>
        <w:t xml:space="preserve"> ha fijado como tope en reiteradas sentencias</w:t>
      </w:r>
      <w:r w:rsidR="00DE681E" w:rsidRPr="008B5B9B">
        <w:rPr>
          <w:rFonts w:ascii="Times New Roman" w:hAnsi="Times New Roman" w:cs="Times New Roman"/>
          <w:sz w:val="24"/>
          <w:szCs w:val="24"/>
        </w:rPr>
        <w:t>.</w:t>
      </w:r>
    </w:p>
    <w:p w:rsidR="00DE681E" w:rsidRPr="008B5B9B" w:rsidRDefault="00DE681E" w:rsidP="00AE3598">
      <w:pPr>
        <w:spacing w:line="240" w:lineRule="auto"/>
        <w:jc w:val="both"/>
        <w:rPr>
          <w:rFonts w:ascii="Times New Roman" w:hAnsi="Times New Roman" w:cs="Times New Roman"/>
          <w:sz w:val="24"/>
          <w:szCs w:val="24"/>
        </w:rPr>
      </w:pPr>
      <w:r w:rsidRPr="008B5B9B">
        <w:rPr>
          <w:rFonts w:ascii="Times New Roman" w:hAnsi="Times New Roman" w:cs="Times New Roman"/>
          <w:sz w:val="24"/>
          <w:szCs w:val="24"/>
        </w:rPr>
        <w:t xml:space="preserve">En la </w:t>
      </w:r>
      <w:r w:rsidR="004E7668" w:rsidRPr="008B5B9B">
        <w:rPr>
          <w:rFonts w:ascii="Times New Roman" w:hAnsi="Times New Roman" w:cs="Times New Roman"/>
          <w:sz w:val="24"/>
          <w:szCs w:val="24"/>
        </w:rPr>
        <w:t>resolución</w:t>
      </w:r>
      <w:r w:rsidRPr="008B5B9B">
        <w:rPr>
          <w:rFonts w:ascii="Times New Roman" w:hAnsi="Times New Roman" w:cs="Times New Roman"/>
          <w:sz w:val="24"/>
          <w:szCs w:val="24"/>
        </w:rPr>
        <w:t xml:space="preserve"> </w:t>
      </w:r>
      <w:r w:rsidR="00005B05" w:rsidRPr="008B5B9B">
        <w:rPr>
          <w:rFonts w:ascii="Times New Roman" w:hAnsi="Times New Roman" w:cs="Times New Roman"/>
          <w:sz w:val="24"/>
          <w:szCs w:val="24"/>
        </w:rPr>
        <w:t xml:space="preserve">N° </w:t>
      </w:r>
      <w:r w:rsidRPr="008B5B9B">
        <w:rPr>
          <w:rFonts w:ascii="Times New Roman" w:hAnsi="Times New Roman" w:cs="Times New Roman"/>
          <w:sz w:val="24"/>
          <w:szCs w:val="24"/>
        </w:rPr>
        <w:t>2019-</w:t>
      </w:r>
      <w:r w:rsidR="008B5B9B">
        <w:rPr>
          <w:rFonts w:ascii="Times New Roman" w:hAnsi="Times New Roman" w:cs="Times New Roman"/>
          <w:sz w:val="24"/>
          <w:szCs w:val="24"/>
        </w:rPr>
        <w:t>009723</w:t>
      </w:r>
      <w:r w:rsidR="00CC0684">
        <w:rPr>
          <w:rFonts w:ascii="Times New Roman" w:hAnsi="Times New Roman" w:cs="Times New Roman"/>
          <w:sz w:val="24"/>
          <w:szCs w:val="24"/>
        </w:rPr>
        <w:t>,</w:t>
      </w:r>
      <w:r w:rsidR="00B82954" w:rsidRPr="008B5B9B">
        <w:rPr>
          <w:rFonts w:ascii="Times New Roman" w:hAnsi="Times New Roman" w:cs="Times New Roman"/>
          <w:sz w:val="24"/>
          <w:szCs w:val="24"/>
        </w:rPr>
        <w:t xml:space="preserve"> los magistrados y magistradas declararon inconstitucional el segundo párrafo del artículo 44 de la Convención Colectiva de Trabajo de la </w:t>
      </w:r>
      <w:r w:rsidR="00B82954" w:rsidRPr="008B5B9B">
        <w:rPr>
          <w:rFonts w:ascii="Times New Roman" w:hAnsi="Times New Roman" w:cs="Times New Roman"/>
          <w:b/>
          <w:sz w:val="24"/>
          <w:szCs w:val="24"/>
        </w:rPr>
        <w:t xml:space="preserve">Municipalidad de Santa Cruz </w:t>
      </w:r>
      <w:r w:rsidR="00B82954" w:rsidRPr="008B5B9B">
        <w:rPr>
          <w:rFonts w:ascii="Times New Roman" w:hAnsi="Times New Roman" w:cs="Times New Roman"/>
          <w:sz w:val="24"/>
          <w:szCs w:val="24"/>
        </w:rPr>
        <w:t>en el cual se reconoce un mes de salario –auxilio de cesantía– por cada año de servicios prestados sin límite de años; es decir</w:t>
      </w:r>
      <w:r w:rsidR="00CC0684">
        <w:rPr>
          <w:rFonts w:ascii="Times New Roman" w:hAnsi="Times New Roman" w:cs="Times New Roman"/>
          <w:sz w:val="24"/>
          <w:szCs w:val="24"/>
        </w:rPr>
        <w:t>,</w:t>
      </w:r>
      <w:r w:rsidR="00B82954" w:rsidRPr="008B5B9B">
        <w:rPr>
          <w:rFonts w:ascii="Times New Roman" w:hAnsi="Times New Roman" w:cs="Times New Roman"/>
          <w:sz w:val="24"/>
          <w:szCs w:val="24"/>
        </w:rPr>
        <w:t xml:space="preserve"> admite el pago de cesantía sin tope.</w:t>
      </w:r>
    </w:p>
    <w:p w:rsidR="00B82954" w:rsidRPr="008B5B9B" w:rsidRDefault="00B82954" w:rsidP="00AE3598">
      <w:pPr>
        <w:spacing w:line="240" w:lineRule="auto"/>
        <w:jc w:val="both"/>
        <w:rPr>
          <w:rFonts w:ascii="Times New Roman" w:hAnsi="Times New Roman" w:cs="Times New Roman"/>
          <w:sz w:val="24"/>
          <w:szCs w:val="24"/>
        </w:rPr>
      </w:pPr>
      <w:r w:rsidRPr="008B5B9B">
        <w:rPr>
          <w:rFonts w:ascii="Times New Roman" w:hAnsi="Times New Roman" w:cs="Times New Roman"/>
          <w:sz w:val="24"/>
          <w:szCs w:val="24"/>
        </w:rPr>
        <w:t>“Esa situación ha dejado de tener un fundamento que lo justifique desde la perspectiva de la razonabilidad de las normas… la línea jurisprudencial</w:t>
      </w:r>
      <w:r w:rsidR="00340179" w:rsidRPr="008B5B9B">
        <w:rPr>
          <w:rFonts w:ascii="Times New Roman" w:hAnsi="Times New Roman" w:cs="Times New Roman"/>
          <w:sz w:val="24"/>
          <w:szCs w:val="24"/>
        </w:rPr>
        <w:t xml:space="preserve"> (tope de 12 años)</w:t>
      </w:r>
      <w:r w:rsidRPr="008B5B9B">
        <w:rPr>
          <w:rFonts w:ascii="Times New Roman" w:hAnsi="Times New Roman" w:cs="Times New Roman"/>
          <w:sz w:val="24"/>
          <w:szCs w:val="24"/>
        </w:rPr>
        <w:t xml:space="preserve"> responde a la difícil situación fiscal y financiera que atraviesa el Estado costarricense, que no es ajeno a las municipalidades del país</w:t>
      </w:r>
      <w:r w:rsidR="00340179" w:rsidRPr="008B5B9B">
        <w:rPr>
          <w:rFonts w:ascii="Times New Roman" w:hAnsi="Times New Roman" w:cs="Times New Roman"/>
          <w:sz w:val="24"/>
          <w:szCs w:val="24"/>
        </w:rPr>
        <w:t xml:space="preserve">”, señala </w:t>
      </w:r>
      <w:r w:rsidR="009624A4">
        <w:rPr>
          <w:rFonts w:ascii="Times New Roman" w:hAnsi="Times New Roman" w:cs="Times New Roman"/>
          <w:sz w:val="24"/>
          <w:szCs w:val="24"/>
        </w:rPr>
        <w:t>el fallo</w:t>
      </w:r>
      <w:r w:rsidR="00340179" w:rsidRPr="008B5B9B">
        <w:rPr>
          <w:rFonts w:ascii="Times New Roman" w:hAnsi="Times New Roman" w:cs="Times New Roman"/>
          <w:sz w:val="24"/>
          <w:szCs w:val="24"/>
        </w:rPr>
        <w:t>.</w:t>
      </w:r>
    </w:p>
    <w:p w:rsidR="00BC6B88" w:rsidRPr="008B5B9B" w:rsidRDefault="00340179" w:rsidP="00AE3598">
      <w:pPr>
        <w:spacing w:line="240" w:lineRule="auto"/>
        <w:jc w:val="both"/>
        <w:rPr>
          <w:rFonts w:ascii="Times New Roman" w:hAnsi="Times New Roman" w:cs="Times New Roman"/>
          <w:sz w:val="24"/>
          <w:szCs w:val="24"/>
        </w:rPr>
      </w:pPr>
      <w:r w:rsidRPr="008B5B9B">
        <w:rPr>
          <w:rFonts w:ascii="Times New Roman" w:hAnsi="Times New Roman" w:cs="Times New Roman"/>
          <w:sz w:val="24"/>
          <w:szCs w:val="24"/>
        </w:rPr>
        <w:t xml:space="preserve">De igual forma, la sentencia </w:t>
      </w:r>
      <w:r w:rsidR="00005B05" w:rsidRPr="008B5B9B">
        <w:rPr>
          <w:rFonts w:ascii="Times New Roman" w:hAnsi="Times New Roman" w:cs="Times New Roman"/>
          <w:sz w:val="24"/>
          <w:szCs w:val="24"/>
        </w:rPr>
        <w:t xml:space="preserve">N° </w:t>
      </w:r>
      <w:r w:rsidRPr="008B5B9B">
        <w:rPr>
          <w:rFonts w:ascii="Times New Roman" w:hAnsi="Times New Roman" w:cs="Times New Roman"/>
          <w:sz w:val="24"/>
          <w:szCs w:val="24"/>
        </w:rPr>
        <w:t>2019-009721</w:t>
      </w:r>
      <w:r w:rsidR="004E7668" w:rsidRPr="008B5B9B">
        <w:rPr>
          <w:rFonts w:ascii="Times New Roman" w:hAnsi="Times New Roman" w:cs="Times New Roman"/>
          <w:sz w:val="24"/>
          <w:szCs w:val="24"/>
        </w:rPr>
        <w:t xml:space="preserve"> </w:t>
      </w:r>
      <w:r w:rsidRPr="008B5B9B">
        <w:rPr>
          <w:rFonts w:ascii="Times New Roman" w:hAnsi="Times New Roman" w:cs="Times New Roman"/>
          <w:sz w:val="24"/>
          <w:szCs w:val="24"/>
        </w:rPr>
        <w:t xml:space="preserve">elimina el contenido del artículo 22 de la Convención Colectiva de la </w:t>
      </w:r>
      <w:r w:rsidRPr="008B5B9B">
        <w:rPr>
          <w:rFonts w:ascii="Times New Roman" w:hAnsi="Times New Roman" w:cs="Times New Roman"/>
          <w:b/>
          <w:sz w:val="24"/>
          <w:szCs w:val="24"/>
        </w:rPr>
        <w:t>Municipalidad de Vázquez de Coronado</w:t>
      </w:r>
      <w:r w:rsidRPr="008B5B9B">
        <w:rPr>
          <w:rFonts w:ascii="Times New Roman" w:hAnsi="Times New Roman" w:cs="Times New Roman"/>
          <w:sz w:val="24"/>
          <w:szCs w:val="24"/>
        </w:rPr>
        <w:t xml:space="preserve"> que reconoce 30 años de auxilio de cesantía.</w:t>
      </w:r>
    </w:p>
    <w:p w:rsidR="00340179" w:rsidRPr="008B5B9B" w:rsidRDefault="00340179" w:rsidP="00AE3598">
      <w:pPr>
        <w:spacing w:line="240" w:lineRule="auto"/>
        <w:jc w:val="both"/>
        <w:rPr>
          <w:rFonts w:ascii="Times New Roman" w:hAnsi="Times New Roman" w:cs="Times New Roman"/>
          <w:sz w:val="24"/>
          <w:szCs w:val="24"/>
        </w:rPr>
      </w:pPr>
      <w:r w:rsidRPr="008B5B9B">
        <w:rPr>
          <w:rFonts w:ascii="Times New Roman" w:hAnsi="Times New Roman" w:cs="Times New Roman"/>
          <w:sz w:val="24"/>
          <w:szCs w:val="24"/>
        </w:rPr>
        <w:t xml:space="preserve">Finalmente, la resolución </w:t>
      </w:r>
      <w:r w:rsidR="00005B05" w:rsidRPr="008B5B9B">
        <w:rPr>
          <w:rFonts w:ascii="Times New Roman" w:hAnsi="Times New Roman" w:cs="Times New Roman"/>
          <w:sz w:val="24"/>
          <w:szCs w:val="24"/>
        </w:rPr>
        <w:t xml:space="preserve">N° </w:t>
      </w:r>
      <w:r w:rsidRPr="008B5B9B">
        <w:rPr>
          <w:rFonts w:ascii="Times New Roman" w:hAnsi="Times New Roman" w:cs="Times New Roman"/>
          <w:sz w:val="24"/>
          <w:szCs w:val="24"/>
        </w:rPr>
        <w:t>201</w:t>
      </w:r>
      <w:r w:rsidR="00005B05" w:rsidRPr="008B5B9B">
        <w:rPr>
          <w:rFonts w:ascii="Times New Roman" w:hAnsi="Times New Roman" w:cs="Times New Roman"/>
          <w:sz w:val="24"/>
          <w:szCs w:val="24"/>
        </w:rPr>
        <w:t>9</w:t>
      </w:r>
      <w:r w:rsidRPr="008B5B9B">
        <w:rPr>
          <w:rFonts w:ascii="Times New Roman" w:hAnsi="Times New Roman" w:cs="Times New Roman"/>
          <w:sz w:val="24"/>
          <w:szCs w:val="24"/>
        </w:rPr>
        <w:t>-009722 declara inconstitucional el tope de 20 años de auxilio de cesantía establecido en el artículo 95 de la Convención Colectiva de la</w:t>
      </w:r>
      <w:r w:rsidR="00A108D2">
        <w:rPr>
          <w:rFonts w:ascii="Times New Roman" w:hAnsi="Times New Roman" w:cs="Times New Roman"/>
          <w:sz w:val="24"/>
          <w:szCs w:val="24"/>
        </w:rPr>
        <w:t xml:space="preserve"> </w:t>
      </w:r>
      <w:r w:rsidRPr="008B5B9B">
        <w:rPr>
          <w:rFonts w:ascii="Times New Roman" w:hAnsi="Times New Roman" w:cs="Times New Roman"/>
          <w:b/>
          <w:sz w:val="24"/>
          <w:szCs w:val="24"/>
        </w:rPr>
        <w:t>Universidad Nacional</w:t>
      </w:r>
      <w:r w:rsidRPr="008B5B9B">
        <w:rPr>
          <w:rFonts w:ascii="Times New Roman" w:hAnsi="Times New Roman" w:cs="Times New Roman"/>
          <w:sz w:val="24"/>
          <w:szCs w:val="24"/>
        </w:rPr>
        <w:t>. Además se anula el pago de cesantía en los casos de renuncia del trabajador, como lo dispone el mismo artículo.</w:t>
      </w:r>
    </w:p>
    <w:p w:rsidR="00DE681E" w:rsidRDefault="00DE681E" w:rsidP="00AE3598">
      <w:pPr>
        <w:spacing w:line="240" w:lineRule="auto"/>
        <w:jc w:val="both"/>
        <w:rPr>
          <w:rFonts w:ascii="Times New Roman" w:hAnsi="Times New Roman" w:cs="Times New Roman"/>
          <w:sz w:val="24"/>
          <w:szCs w:val="24"/>
        </w:rPr>
      </w:pPr>
      <w:r w:rsidRPr="008B5B9B">
        <w:rPr>
          <w:rFonts w:ascii="Times New Roman" w:hAnsi="Times New Roman" w:cs="Times New Roman"/>
          <w:sz w:val="24"/>
          <w:szCs w:val="24"/>
        </w:rPr>
        <w:lastRenderedPageBreak/>
        <w:t>Las tres sentencias se votaron en la sesión del miércoles 29 de mayo. El exdiputado Otto Guevara Guth fue quien impugnó, en los tres casos y de forma separada, el contenido de los artículos en cuestión.</w:t>
      </w:r>
    </w:p>
    <w:p w:rsidR="001C2D96" w:rsidRPr="001C2D96" w:rsidRDefault="001C2D96" w:rsidP="00AE3598">
      <w:pPr>
        <w:spacing w:line="240" w:lineRule="auto"/>
        <w:jc w:val="both"/>
        <w:rPr>
          <w:rFonts w:ascii="Times New Roman" w:hAnsi="Times New Roman" w:cs="Times New Roman"/>
          <w:b/>
          <w:sz w:val="28"/>
          <w:szCs w:val="28"/>
        </w:rPr>
      </w:pPr>
      <w:r w:rsidRPr="001C2D96">
        <w:rPr>
          <w:rFonts w:ascii="Times New Roman" w:hAnsi="Times New Roman" w:cs="Times New Roman"/>
          <w:b/>
          <w:sz w:val="28"/>
          <w:szCs w:val="28"/>
        </w:rPr>
        <w:t>Criterio reiterado</w:t>
      </w:r>
    </w:p>
    <w:p w:rsidR="00DE681E" w:rsidRPr="008B5B9B" w:rsidRDefault="00CC0684" w:rsidP="00AE3598">
      <w:pPr>
        <w:spacing w:line="240" w:lineRule="auto"/>
        <w:jc w:val="both"/>
        <w:rPr>
          <w:rFonts w:ascii="Times New Roman" w:hAnsi="Times New Roman" w:cs="Times New Roman"/>
          <w:sz w:val="24"/>
          <w:szCs w:val="24"/>
        </w:rPr>
      </w:pPr>
      <w:r>
        <w:rPr>
          <w:rFonts w:ascii="Times New Roman" w:hAnsi="Times New Roman" w:cs="Times New Roman"/>
          <w:sz w:val="24"/>
          <w:szCs w:val="24"/>
        </w:rPr>
        <w:t>Con estas sentencias</w:t>
      </w:r>
      <w:r w:rsidR="00340179" w:rsidRPr="008B5B9B">
        <w:rPr>
          <w:rFonts w:ascii="Times New Roman" w:hAnsi="Times New Roman" w:cs="Times New Roman"/>
          <w:sz w:val="24"/>
          <w:szCs w:val="24"/>
        </w:rPr>
        <w:t xml:space="preserve"> se reitera la línea jurisprudencial de la Sala Constitucional de fijar en 12 años el tope de cesantía, tal y como se ha dictado en las sentencias</w:t>
      </w:r>
      <w:r w:rsidR="00005B05" w:rsidRPr="008B5B9B">
        <w:rPr>
          <w:rFonts w:ascii="Times New Roman" w:hAnsi="Times New Roman" w:cs="Times New Roman"/>
          <w:sz w:val="24"/>
          <w:szCs w:val="24"/>
        </w:rPr>
        <w:t xml:space="preserve"> N° 2018-008882 (Bancredito)</w:t>
      </w:r>
      <w:r w:rsidR="008B5B9B" w:rsidRPr="008B5B9B">
        <w:rPr>
          <w:rFonts w:ascii="Times New Roman" w:hAnsi="Times New Roman" w:cs="Times New Roman"/>
          <w:sz w:val="24"/>
          <w:szCs w:val="24"/>
        </w:rPr>
        <w:t xml:space="preserve"> del 5 de junio del 2018</w:t>
      </w:r>
      <w:r w:rsidR="00005B05" w:rsidRPr="008B5B9B">
        <w:rPr>
          <w:rFonts w:ascii="Times New Roman" w:hAnsi="Times New Roman" w:cs="Times New Roman"/>
          <w:sz w:val="24"/>
          <w:szCs w:val="24"/>
        </w:rPr>
        <w:t>, N° 2019-008679 (Municipalidad de Abangares)</w:t>
      </w:r>
      <w:r w:rsidR="008B5B9B" w:rsidRPr="008B5B9B">
        <w:rPr>
          <w:rFonts w:ascii="Times New Roman" w:hAnsi="Times New Roman" w:cs="Times New Roman"/>
          <w:sz w:val="24"/>
          <w:szCs w:val="24"/>
        </w:rPr>
        <w:t xml:space="preserve"> del 15 de mayo</w:t>
      </w:r>
      <w:r w:rsidR="00005B05" w:rsidRPr="008B5B9B">
        <w:rPr>
          <w:rFonts w:ascii="Times New Roman" w:hAnsi="Times New Roman" w:cs="Times New Roman"/>
          <w:sz w:val="24"/>
          <w:szCs w:val="24"/>
        </w:rPr>
        <w:t>, N° 2019-009222 (Municipalidad de Carrillo)</w:t>
      </w:r>
      <w:r w:rsidR="008B5B9B" w:rsidRPr="008B5B9B">
        <w:rPr>
          <w:rFonts w:ascii="Times New Roman" w:hAnsi="Times New Roman" w:cs="Times New Roman"/>
          <w:sz w:val="24"/>
          <w:szCs w:val="24"/>
        </w:rPr>
        <w:t xml:space="preserve"> del 22 de mayo, </w:t>
      </w:r>
      <w:r w:rsidR="00005B05" w:rsidRPr="008B5B9B">
        <w:rPr>
          <w:rFonts w:ascii="Times New Roman" w:hAnsi="Times New Roman" w:cs="Times New Roman"/>
          <w:sz w:val="24"/>
          <w:szCs w:val="24"/>
        </w:rPr>
        <w:t xml:space="preserve"> y N° 2019-009226 (Recope)</w:t>
      </w:r>
      <w:r w:rsidR="008B5B9B" w:rsidRPr="008B5B9B">
        <w:rPr>
          <w:rFonts w:ascii="Times New Roman" w:hAnsi="Times New Roman" w:cs="Times New Roman"/>
          <w:sz w:val="24"/>
          <w:szCs w:val="24"/>
        </w:rPr>
        <w:t xml:space="preserve"> también del 22 de mayo</w:t>
      </w:r>
      <w:r w:rsidR="00005B05" w:rsidRPr="008B5B9B">
        <w:rPr>
          <w:rFonts w:ascii="Times New Roman" w:hAnsi="Times New Roman" w:cs="Times New Roman"/>
          <w:sz w:val="24"/>
          <w:szCs w:val="24"/>
        </w:rPr>
        <w:t>.</w:t>
      </w:r>
    </w:p>
    <w:p w:rsidR="00F74BB2" w:rsidRPr="008B5B9B" w:rsidRDefault="00F74BB2" w:rsidP="00F74BB2">
      <w:pPr>
        <w:spacing w:line="240" w:lineRule="auto"/>
        <w:jc w:val="both"/>
        <w:rPr>
          <w:rFonts w:ascii="Times New Roman" w:hAnsi="Times New Roman" w:cs="Times New Roman"/>
          <w:sz w:val="24"/>
          <w:szCs w:val="24"/>
        </w:rPr>
      </w:pPr>
      <w:r w:rsidRPr="008B5B9B">
        <w:rPr>
          <w:rFonts w:ascii="Times New Roman" w:hAnsi="Times New Roman" w:cs="Times New Roman"/>
          <w:sz w:val="24"/>
          <w:szCs w:val="24"/>
        </w:rPr>
        <w:t>El magistrado Luis Fernando Salazar explicó que si bien el Código de Trabajo establece como tope de cesantía los últimos ocho años de la relación laboral, la jurisprudencia constitucional reconoce la posibilidad de mejorar ciertas condiciones mínimas de los trabajadores que superen las establecidas en la legislación laboral. Esto bajo el entendido de que se respeten los principios de razonabilidad y proporcionalidad, por tratarse de beneficios pagados con fondos públicos.</w:t>
      </w:r>
      <w:r w:rsidR="00E57B0C">
        <w:rPr>
          <w:rFonts w:ascii="Times New Roman" w:hAnsi="Times New Roman" w:cs="Times New Roman"/>
          <w:sz w:val="24"/>
          <w:szCs w:val="24"/>
        </w:rPr>
        <w:t xml:space="preserve"> Lo anterior sin perjuicio de que se respeten los derechos adquiridos al amparo de la Ley de Protección al Trabajador y de la Ley de Asociaciones Solidaristas.</w:t>
      </w:r>
    </w:p>
    <w:p w:rsidR="001C2D96" w:rsidRPr="001C2D96" w:rsidRDefault="00F74BB2" w:rsidP="00BC6B88">
      <w:pPr>
        <w:spacing w:line="240" w:lineRule="auto"/>
        <w:jc w:val="both"/>
        <w:rPr>
          <w:rFonts w:ascii="Times New Roman" w:hAnsi="Times New Roman" w:cs="Times New Roman"/>
          <w:sz w:val="24"/>
          <w:szCs w:val="24"/>
        </w:rPr>
      </w:pPr>
      <w:r w:rsidRPr="008B5B9B">
        <w:rPr>
          <w:rFonts w:ascii="Times New Roman" w:hAnsi="Times New Roman" w:cs="Times New Roman"/>
          <w:sz w:val="24"/>
          <w:szCs w:val="24"/>
        </w:rPr>
        <w:t>“Para que la disposición convencional sea razonable, es posible que el mínimo legal de ocho años pueda incrementarse en cuatro años más, de manera que el tope máximo de cesantía debe radicarse en 12 años”, detalló Salazar.</w:t>
      </w:r>
    </w:p>
    <w:tbl>
      <w:tblPr>
        <w:tblStyle w:val="Tablaconcuadrcula"/>
        <w:tblW w:w="0" w:type="auto"/>
        <w:tblLook w:val="04A0"/>
      </w:tblPr>
      <w:tblGrid>
        <w:gridCol w:w="9039"/>
      </w:tblGrid>
      <w:tr w:rsidR="00BC6B88" w:rsidTr="004721BA">
        <w:tc>
          <w:tcPr>
            <w:tcW w:w="9039" w:type="dxa"/>
            <w:shd w:val="clear" w:color="auto" w:fill="1F497D" w:themeFill="text2"/>
          </w:tcPr>
          <w:p w:rsidR="00BC6B88" w:rsidRPr="008A17F4" w:rsidRDefault="00BC6B88" w:rsidP="008A17F4">
            <w:pPr>
              <w:jc w:val="both"/>
              <w:rPr>
                <w:rFonts w:ascii="Times New Roman" w:hAnsi="Times New Roman" w:cs="Times New Roman"/>
                <w:b/>
                <w:color w:val="FFFFFF" w:themeColor="background1"/>
                <w:sz w:val="24"/>
                <w:szCs w:val="24"/>
              </w:rPr>
            </w:pPr>
            <w:r w:rsidRPr="008A17F4">
              <w:rPr>
                <w:rFonts w:ascii="Times New Roman" w:hAnsi="Times New Roman" w:cs="Times New Roman"/>
                <w:b/>
                <w:color w:val="FFFFFF" w:themeColor="background1"/>
                <w:sz w:val="24"/>
                <w:szCs w:val="24"/>
              </w:rPr>
              <w:t>30 años de Sala Constitucional</w:t>
            </w:r>
          </w:p>
          <w:p w:rsidR="00BC6B88" w:rsidRDefault="00BC6B88" w:rsidP="008A17F4">
            <w:pPr>
              <w:jc w:val="both"/>
              <w:rPr>
                <w:rFonts w:ascii="Times New Roman" w:hAnsi="Times New Roman" w:cs="Times New Roman"/>
                <w:b/>
                <w:sz w:val="24"/>
                <w:szCs w:val="24"/>
              </w:rPr>
            </w:pPr>
          </w:p>
        </w:tc>
      </w:tr>
      <w:tr w:rsidR="00BC6B88" w:rsidTr="004721BA">
        <w:trPr>
          <w:trHeight w:val="2017"/>
        </w:trPr>
        <w:tc>
          <w:tcPr>
            <w:tcW w:w="9039" w:type="dxa"/>
          </w:tcPr>
          <w:p w:rsidR="00BC6B88" w:rsidRPr="00BC6B88" w:rsidRDefault="00BC6B88" w:rsidP="008A17F4">
            <w:pPr>
              <w:pStyle w:val="NormalWeb"/>
              <w:shd w:val="clear" w:color="auto" w:fill="FFFFFF"/>
              <w:spacing w:before="0" w:beforeAutospacing="0" w:after="0" w:afterAutospacing="0"/>
              <w:jc w:val="both"/>
              <w:rPr>
                <w:iCs/>
                <w:sz w:val="18"/>
                <w:szCs w:val="18"/>
                <w:shd w:val="clear" w:color="auto" w:fill="FFFFFF"/>
              </w:rPr>
            </w:pPr>
            <w:r w:rsidRPr="00BC6B88">
              <w:rPr>
                <w:sz w:val="18"/>
                <w:szCs w:val="18"/>
              </w:rPr>
              <w:t xml:space="preserve">La Sala Constitucional, el tribunal </w:t>
            </w:r>
            <w:r w:rsidRPr="00BC6B88">
              <w:rPr>
                <w:iCs/>
                <w:sz w:val="18"/>
                <w:szCs w:val="18"/>
                <w:shd w:val="clear" w:color="auto" w:fill="FFFFFF"/>
              </w:rPr>
              <w:t>garante de la dignidad, derechos y libertad de las personas, cumple 30 años este 2019.</w:t>
            </w:r>
          </w:p>
          <w:p w:rsidR="00BC6B88" w:rsidRPr="00BC6B88" w:rsidRDefault="00BC6B88" w:rsidP="008A17F4">
            <w:pPr>
              <w:jc w:val="both"/>
              <w:rPr>
                <w:rFonts w:ascii="Times New Roman" w:hAnsi="Times New Roman" w:cs="Times New Roman"/>
                <w:iCs/>
                <w:sz w:val="18"/>
                <w:szCs w:val="18"/>
                <w:shd w:val="clear" w:color="auto" w:fill="FFFFFF"/>
              </w:rPr>
            </w:pPr>
            <w:r w:rsidRPr="00BC6B88">
              <w:rPr>
                <w:rFonts w:ascii="Times New Roman" w:hAnsi="Times New Roman" w:cs="Times New Roman"/>
                <w:iCs/>
                <w:sz w:val="18"/>
                <w:szCs w:val="18"/>
                <w:shd w:val="clear" w:color="auto" w:fill="FFFFFF"/>
              </w:rPr>
              <w:t>Un 25 de setiembre de 1989 se designó la primera conformación de la Sala Constitucional, dos días después inició labores.</w:t>
            </w:r>
          </w:p>
          <w:p w:rsidR="00BC6B88" w:rsidRPr="00BC6B88" w:rsidRDefault="00BC6B88" w:rsidP="008A17F4">
            <w:pPr>
              <w:jc w:val="both"/>
              <w:rPr>
                <w:rFonts w:ascii="Times New Roman" w:hAnsi="Times New Roman" w:cs="Times New Roman"/>
                <w:sz w:val="18"/>
                <w:szCs w:val="18"/>
              </w:rPr>
            </w:pPr>
            <w:r w:rsidRPr="00BC6B88">
              <w:rPr>
                <w:rFonts w:ascii="Times New Roman" w:hAnsi="Times New Roman" w:cs="Times New Roman"/>
                <w:sz w:val="18"/>
                <w:szCs w:val="18"/>
              </w:rPr>
              <w:t>A lo largo de estos  30 años, los magistrados y magistradas han resuelto más de 380 mil acciones, amparos, hábeas corpus y consultas.</w:t>
            </w:r>
          </w:p>
          <w:p w:rsidR="00BC6B88" w:rsidRPr="008A17F4" w:rsidRDefault="00BC6B88" w:rsidP="008A17F4">
            <w:pPr>
              <w:pStyle w:val="NormalWeb"/>
              <w:shd w:val="clear" w:color="auto" w:fill="FFFFFF"/>
              <w:spacing w:before="0" w:beforeAutospacing="0" w:after="107" w:afterAutospacing="0"/>
              <w:jc w:val="both"/>
              <w:rPr>
                <w:sz w:val="18"/>
                <w:szCs w:val="18"/>
              </w:rPr>
            </w:pPr>
            <w:r w:rsidRPr="00BC6B88">
              <w:rPr>
                <w:sz w:val="18"/>
                <w:szCs w:val="18"/>
              </w:rPr>
              <w:t>Para conmemorar el aniversario, la Sala Constitucional planea una serie de actividades; estas se desarrollarán, principalmente, en el mes de setiembre. Posteriormente le estaremos informando de forma detallada.</w:t>
            </w:r>
          </w:p>
        </w:tc>
      </w:tr>
    </w:tbl>
    <w:p w:rsidR="001C2D96" w:rsidRDefault="001C2D96" w:rsidP="004721BA">
      <w:pPr>
        <w:jc w:val="right"/>
        <w:rPr>
          <w:rFonts w:ascii="Times New Roman" w:hAnsi="Times New Roman" w:cs="Times New Roman"/>
          <w:b/>
          <w:sz w:val="24"/>
          <w:szCs w:val="24"/>
        </w:rPr>
      </w:pPr>
    </w:p>
    <w:tbl>
      <w:tblPr>
        <w:tblStyle w:val="Tablaconcuadrcula"/>
        <w:tblW w:w="0" w:type="auto"/>
        <w:tblLook w:val="04A0"/>
      </w:tblPr>
      <w:tblGrid>
        <w:gridCol w:w="1809"/>
        <w:gridCol w:w="7179"/>
      </w:tblGrid>
      <w:tr w:rsidR="008A17F4" w:rsidTr="00CC0684">
        <w:tc>
          <w:tcPr>
            <w:tcW w:w="1809" w:type="dxa"/>
            <w:shd w:val="clear" w:color="auto" w:fill="DAEEF3" w:themeFill="accent5" w:themeFillTint="33"/>
          </w:tcPr>
          <w:p w:rsidR="008A17F4" w:rsidRPr="00A108D2" w:rsidRDefault="008A17F4" w:rsidP="001C2D96">
            <w:pPr>
              <w:rPr>
                <w:rFonts w:ascii="Times New Roman" w:hAnsi="Times New Roman" w:cs="Times New Roman"/>
                <w:sz w:val="18"/>
                <w:szCs w:val="18"/>
              </w:rPr>
            </w:pPr>
            <w:r w:rsidRPr="00A108D2">
              <w:rPr>
                <w:rFonts w:ascii="Times New Roman" w:hAnsi="Times New Roman" w:cs="Times New Roman"/>
                <w:sz w:val="18"/>
                <w:szCs w:val="18"/>
              </w:rPr>
              <w:t>Número de fallo</w:t>
            </w:r>
            <w:r w:rsidR="00A108D2">
              <w:rPr>
                <w:rFonts w:ascii="Times New Roman" w:hAnsi="Times New Roman" w:cs="Times New Roman"/>
                <w:sz w:val="18"/>
                <w:szCs w:val="18"/>
              </w:rPr>
              <w:t>:</w:t>
            </w:r>
          </w:p>
        </w:tc>
        <w:tc>
          <w:tcPr>
            <w:tcW w:w="7179" w:type="dxa"/>
          </w:tcPr>
          <w:p w:rsidR="008A17F4" w:rsidRPr="00A108D2" w:rsidRDefault="00346E08" w:rsidP="001C2D96">
            <w:pPr>
              <w:rPr>
                <w:rFonts w:ascii="Times New Roman" w:hAnsi="Times New Roman" w:cs="Times New Roman"/>
                <w:sz w:val="18"/>
                <w:szCs w:val="18"/>
              </w:rPr>
            </w:pPr>
            <w:r w:rsidRPr="00A108D2">
              <w:rPr>
                <w:rFonts w:ascii="Times New Roman" w:hAnsi="Times New Roman" w:cs="Times New Roman"/>
                <w:sz w:val="18"/>
                <w:szCs w:val="18"/>
              </w:rPr>
              <w:t>2019-009721</w:t>
            </w:r>
          </w:p>
        </w:tc>
      </w:tr>
      <w:tr w:rsidR="008A17F4" w:rsidTr="00CC0684">
        <w:tc>
          <w:tcPr>
            <w:tcW w:w="1809" w:type="dxa"/>
            <w:shd w:val="clear" w:color="auto" w:fill="DAEEF3" w:themeFill="accent5" w:themeFillTint="33"/>
          </w:tcPr>
          <w:p w:rsidR="008A17F4" w:rsidRPr="00A108D2" w:rsidRDefault="008A17F4" w:rsidP="001C2D96">
            <w:pPr>
              <w:rPr>
                <w:rFonts w:ascii="Times New Roman" w:hAnsi="Times New Roman" w:cs="Times New Roman"/>
                <w:sz w:val="18"/>
                <w:szCs w:val="18"/>
              </w:rPr>
            </w:pPr>
            <w:r w:rsidRPr="00A108D2">
              <w:rPr>
                <w:rFonts w:ascii="Times New Roman" w:hAnsi="Times New Roman" w:cs="Times New Roman"/>
                <w:sz w:val="18"/>
                <w:szCs w:val="18"/>
              </w:rPr>
              <w:t>Fecha de votación</w:t>
            </w:r>
            <w:r w:rsidR="00A108D2">
              <w:rPr>
                <w:rFonts w:ascii="Times New Roman" w:hAnsi="Times New Roman" w:cs="Times New Roman"/>
                <w:sz w:val="18"/>
                <w:szCs w:val="18"/>
              </w:rPr>
              <w:t>:</w:t>
            </w:r>
          </w:p>
        </w:tc>
        <w:tc>
          <w:tcPr>
            <w:tcW w:w="7179" w:type="dxa"/>
          </w:tcPr>
          <w:p w:rsidR="008A17F4" w:rsidRPr="00A108D2" w:rsidRDefault="00346E08" w:rsidP="001C2D96">
            <w:pPr>
              <w:rPr>
                <w:rFonts w:ascii="Times New Roman" w:hAnsi="Times New Roman" w:cs="Times New Roman"/>
                <w:sz w:val="18"/>
                <w:szCs w:val="18"/>
              </w:rPr>
            </w:pPr>
            <w:r w:rsidRPr="00A108D2">
              <w:rPr>
                <w:rFonts w:ascii="Times New Roman" w:hAnsi="Times New Roman" w:cs="Times New Roman"/>
                <w:sz w:val="18"/>
                <w:szCs w:val="18"/>
              </w:rPr>
              <w:t>12:20 p.m. del 29 de mayo</w:t>
            </w:r>
          </w:p>
        </w:tc>
      </w:tr>
      <w:tr w:rsidR="008A17F4" w:rsidTr="00CC0684">
        <w:tc>
          <w:tcPr>
            <w:tcW w:w="1809" w:type="dxa"/>
            <w:shd w:val="clear" w:color="auto" w:fill="DAEEF3" w:themeFill="accent5" w:themeFillTint="33"/>
          </w:tcPr>
          <w:p w:rsidR="008A17F4" w:rsidRPr="00A108D2" w:rsidRDefault="008A17F4" w:rsidP="001C2D96">
            <w:pPr>
              <w:rPr>
                <w:rFonts w:ascii="Times New Roman" w:hAnsi="Times New Roman" w:cs="Times New Roman"/>
                <w:sz w:val="18"/>
                <w:szCs w:val="18"/>
              </w:rPr>
            </w:pPr>
            <w:r w:rsidRPr="00A108D2">
              <w:rPr>
                <w:rFonts w:ascii="Times New Roman" w:hAnsi="Times New Roman" w:cs="Times New Roman"/>
                <w:sz w:val="18"/>
                <w:szCs w:val="18"/>
              </w:rPr>
              <w:t>Norma impugnada</w:t>
            </w:r>
            <w:r w:rsidR="00A108D2">
              <w:rPr>
                <w:rFonts w:ascii="Times New Roman" w:hAnsi="Times New Roman" w:cs="Times New Roman"/>
                <w:sz w:val="18"/>
                <w:szCs w:val="18"/>
              </w:rPr>
              <w:t>:</w:t>
            </w:r>
          </w:p>
        </w:tc>
        <w:tc>
          <w:tcPr>
            <w:tcW w:w="7179" w:type="dxa"/>
          </w:tcPr>
          <w:p w:rsidR="008A17F4" w:rsidRPr="00A108D2" w:rsidRDefault="00346E08" w:rsidP="001C2D96">
            <w:pPr>
              <w:rPr>
                <w:rFonts w:ascii="Times New Roman" w:hAnsi="Times New Roman" w:cs="Times New Roman"/>
                <w:sz w:val="18"/>
                <w:szCs w:val="18"/>
              </w:rPr>
            </w:pPr>
            <w:r w:rsidRPr="00A108D2">
              <w:rPr>
                <w:rFonts w:ascii="Times New Roman" w:hAnsi="Times New Roman" w:cs="Times New Roman"/>
                <w:sz w:val="18"/>
                <w:szCs w:val="18"/>
              </w:rPr>
              <w:t>Disposición contenida en el artículo 22 de la Convención Colectiva de la Municipalidad de Vázquez de Coronado</w:t>
            </w:r>
          </w:p>
        </w:tc>
      </w:tr>
      <w:tr w:rsidR="008A17F4" w:rsidTr="00CC0684">
        <w:tc>
          <w:tcPr>
            <w:tcW w:w="1809" w:type="dxa"/>
            <w:shd w:val="clear" w:color="auto" w:fill="BFBFBF" w:themeFill="background1" w:themeFillShade="BF"/>
          </w:tcPr>
          <w:p w:rsidR="008A17F4" w:rsidRPr="00A108D2" w:rsidRDefault="008A17F4" w:rsidP="00E21615">
            <w:pPr>
              <w:rPr>
                <w:rFonts w:ascii="Times New Roman" w:hAnsi="Times New Roman" w:cs="Times New Roman"/>
                <w:sz w:val="18"/>
                <w:szCs w:val="18"/>
              </w:rPr>
            </w:pPr>
            <w:r w:rsidRPr="00A108D2">
              <w:rPr>
                <w:rFonts w:ascii="Times New Roman" w:hAnsi="Times New Roman" w:cs="Times New Roman"/>
                <w:sz w:val="18"/>
                <w:szCs w:val="18"/>
              </w:rPr>
              <w:t>Número de fallo</w:t>
            </w:r>
            <w:r w:rsidR="00A108D2">
              <w:rPr>
                <w:rFonts w:ascii="Times New Roman" w:hAnsi="Times New Roman" w:cs="Times New Roman"/>
                <w:sz w:val="18"/>
                <w:szCs w:val="18"/>
              </w:rPr>
              <w:t>:</w:t>
            </w:r>
          </w:p>
        </w:tc>
        <w:tc>
          <w:tcPr>
            <w:tcW w:w="7179" w:type="dxa"/>
          </w:tcPr>
          <w:p w:rsidR="008A17F4" w:rsidRPr="00A108D2" w:rsidRDefault="00A108D2" w:rsidP="001C2D96">
            <w:pPr>
              <w:rPr>
                <w:rFonts w:ascii="Times New Roman" w:hAnsi="Times New Roman" w:cs="Times New Roman"/>
                <w:sz w:val="18"/>
                <w:szCs w:val="18"/>
              </w:rPr>
            </w:pPr>
            <w:r w:rsidRPr="00A108D2">
              <w:rPr>
                <w:rFonts w:ascii="Times New Roman" w:hAnsi="Times New Roman" w:cs="Times New Roman"/>
                <w:sz w:val="18"/>
                <w:szCs w:val="18"/>
              </w:rPr>
              <w:t>2010-009722</w:t>
            </w:r>
          </w:p>
        </w:tc>
      </w:tr>
      <w:tr w:rsidR="008A17F4" w:rsidTr="00CC0684">
        <w:tc>
          <w:tcPr>
            <w:tcW w:w="1809" w:type="dxa"/>
            <w:shd w:val="clear" w:color="auto" w:fill="BFBFBF" w:themeFill="background1" w:themeFillShade="BF"/>
          </w:tcPr>
          <w:p w:rsidR="008A17F4" w:rsidRPr="00A108D2" w:rsidRDefault="008A17F4" w:rsidP="00E21615">
            <w:pPr>
              <w:rPr>
                <w:rFonts w:ascii="Times New Roman" w:hAnsi="Times New Roman" w:cs="Times New Roman"/>
                <w:sz w:val="18"/>
                <w:szCs w:val="18"/>
              </w:rPr>
            </w:pPr>
            <w:r w:rsidRPr="00A108D2">
              <w:rPr>
                <w:rFonts w:ascii="Times New Roman" w:hAnsi="Times New Roman" w:cs="Times New Roman"/>
                <w:sz w:val="18"/>
                <w:szCs w:val="18"/>
              </w:rPr>
              <w:t>Fecha de votación</w:t>
            </w:r>
            <w:r w:rsidR="00A108D2">
              <w:rPr>
                <w:rFonts w:ascii="Times New Roman" w:hAnsi="Times New Roman" w:cs="Times New Roman"/>
                <w:sz w:val="18"/>
                <w:szCs w:val="18"/>
              </w:rPr>
              <w:t>:</w:t>
            </w:r>
          </w:p>
        </w:tc>
        <w:tc>
          <w:tcPr>
            <w:tcW w:w="7179" w:type="dxa"/>
          </w:tcPr>
          <w:p w:rsidR="008A17F4" w:rsidRPr="00A108D2" w:rsidRDefault="00A108D2" w:rsidP="00A108D2">
            <w:pPr>
              <w:rPr>
                <w:rFonts w:ascii="Times New Roman" w:hAnsi="Times New Roman" w:cs="Times New Roman"/>
                <w:sz w:val="18"/>
                <w:szCs w:val="18"/>
              </w:rPr>
            </w:pPr>
            <w:r w:rsidRPr="00A108D2">
              <w:rPr>
                <w:rFonts w:ascii="Times New Roman" w:hAnsi="Times New Roman" w:cs="Times New Roman"/>
                <w:sz w:val="18"/>
                <w:szCs w:val="18"/>
              </w:rPr>
              <w:t>12:21 p.m. del 29 de mayo</w:t>
            </w:r>
          </w:p>
        </w:tc>
      </w:tr>
      <w:tr w:rsidR="008A17F4" w:rsidTr="00CC0684">
        <w:tc>
          <w:tcPr>
            <w:tcW w:w="1809" w:type="dxa"/>
            <w:shd w:val="clear" w:color="auto" w:fill="BFBFBF" w:themeFill="background1" w:themeFillShade="BF"/>
          </w:tcPr>
          <w:p w:rsidR="008A17F4" w:rsidRPr="00A108D2" w:rsidRDefault="008A17F4" w:rsidP="00E21615">
            <w:pPr>
              <w:rPr>
                <w:rFonts w:ascii="Times New Roman" w:hAnsi="Times New Roman" w:cs="Times New Roman"/>
                <w:sz w:val="18"/>
                <w:szCs w:val="18"/>
              </w:rPr>
            </w:pPr>
            <w:r w:rsidRPr="00A108D2">
              <w:rPr>
                <w:rFonts w:ascii="Times New Roman" w:hAnsi="Times New Roman" w:cs="Times New Roman"/>
                <w:sz w:val="18"/>
                <w:szCs w:val="18"/>
              </w:rPr>
              <w:t>Norma impugnada</w:t>
            </w:r>
            <w:r w:rsidR="00A108D2">
              <w:rPr>
                <w:rFonts w:ascii="Times New Roman" w:hAnsi="Times New Roman" w:cs="Times New Roman"/>
                <w:sz w:val="18"/>
                <w:szCs w:val="18"/>
              </w:rPr>
              <w:t>:</w:t>
            </w:r>
          </w:p>
        </w:tc>
        <w:tc>
          <w:tcPr>
            <w:tcW w:w="7179" w:type="dxa"/>
          </w:tcPr>
          <w:p w:rsidR="008A17F4" w:rsidRPr="00A108D2" w:rsidRDefault="00A108D2" w:rsidP="001C2D96">
            <w:pPr>
              <w:rPr>
                <w:rFonts w:ascii="Times New Roman" w:hAnsi="Times New Roman" w:cs="Times New Roman"/>
                <w:sz w:val="18"/>
                <w:szCs w:val="18"/>
              </w:rPr>
            </w:pPr>
            <w:r w:rsidRPr="00A108D2">
              <w:rPr>
                <w:rFonts w:ascii="Times New Roman" w:hAnsi="Times New Roman" w:cs="Times New Roman"/>
                <w:sz w:val="18"/>
                <w:szCs w:val="18"/>
              </w:rPr>
              <w:t>Disposición contenida en el artículo 95 de la Convención Colectiva de la Universidad Nacional</w:t>
            </w:r>
          </w:p>
        </w:tc>
      </w:tr>
      <w:tr w:rsidR="007E5A61" w:rsidTr="00CC0684">
        <w:tc>
          <w:tcPr>
            <w:tcW w:w="1809" w:type="dxa"/>
            <w:shd w:val="clear" w:color="auto" w:fill="95B3D7" w:themeFill="accent1" w:themeFillTint="99"/>
          </w:tcPr>
          <w:p w:rsidR="007E5A61" w:rsidRPr="00A108D2" w:rsidRDefault="007E5A61" w:rsidP="00E21615">
            <w:pPr>
              <w:rPr>
                <w:rFonts w:ascii="Times New Roman" w:hAnsi="Times New Roman" w:cs="Times New Roman"/>
                <w:sz w:val="18"/>
                <w:szCs w:val="18"/>
              </w:rPr>
            </w:pPr>
            <w:r w:rsidRPr="00A108D2">
              <w:rPr>
                <w:rFonts w:ascii="Times New Roman" w:hAnsi="Times New Roman" w:cs="Times New Roman"/>
                <w:sz w:val="18"/>
                <w:szCs w:val="18"/>
              </w:rPr>
              <w:t>Número de fallo</w:t>
            </w:r>
            <w:r w:rsidR="00A108D2">
              <w:rPr>
                <w:rFonts w:ascii="Times New Roman" w:hAnsi="Times New Roman" w:cs="Times New Roman"/>
                <w:sz w:val="18"/>
                <w:szCs w:val="18"/>
              </w:rPr>
              <w:t>:</w:t>
            </w:r>
          </w:p>
        </w:tc>
        <w:tc>
          <w:tcPr>
            <w:tcW w:w="7179" w:type="dxa"/>
          </w:tcPr>
          <w:p w:rsidR="007E5A61" w:rsidRPr="00A108D2" w:rsidRDefault="00A108D2" w:rsidP="001C2D96">
            <w:pPr>
              <w:rPr>
                <w:rFonts w:ascii="Times New Roman" w:hAnsi="Times New Roman" w:cs="Times New Roman"/>
                <w:sz w:val="18"/>
                <w:szCs w:val="18"/>
              </w:rPr>
            </w:pPr>
            <w:r w:rsidRPr="00A108D2">
              <w:rPr>
                <w:rFonts w:ascii="Times New Roman" w:hAnsi="Times New Roman" w:cs="Times New Roman"/>
                <w:sz w:val="18"/>
                <w:szCs w:val="18"/>
              </w:rPr>
              <w:t>2019-009723</w:t>
            </w:r>
          </w:p>
        </w:tc>
      </w:tr>
      <w:tr w:rsidR="007E5A61" w:rsidTr="00CC0684">
        <w:tc>
          <w:tcPr>
            <w:tcW w:w="1809" w:type="dxa"/>
            <w:shd w:val="clear" w:color="auto" w:fill="95B3D7" w:themeFill="accent1" w:themeFillTint="99"/>
          </w:tcPr>
          <w:p w:rsidR="007E5A61" w:rsidRPr="00A108D2" w:rsidRDefault="007E5A61" w:rsidP="00E21615">
            <w:pPr>
              <w:rPr>
                <w:rFonts w:ascii="Times New Roman" w:hAnsi="Times New Roman" w:cs="Times New Roman"/>
                <w:sz w:val="18"/>
                <w:szCs w:val="18"/>
              </w:rPr>
            </w:pPr>
            <w:r w:rsidRPr="00A108D2">
              <w:rPr>
                <w:rFonts w:ascii="Times New Roman" w:hAnsi="Times New Roman" w:cs="Times New Roman"/>
                <w:sz w:val="18"/>
                <w:szCs w:val="18"/>
              </w:rPr>
              <w:t>Fecha de votación</w:t>
            </w:r>
            <w:r w:rsidR="00A108D2">
              <w:rPr>
                <w:rFonts w:ascii="Times New Roman" w:hAnsi="Times New Roman" w:cs="Times New Roman"/>
                <w:sz w:val="18"/>
                <w:szCs w:val="18"/>
              </w:rPr>
              <w:t>:</w:t>
            </w:r>
          </w:p>
        </w:tc>
        <w:tc>
          <w:tcPr>
            <w:tcW w:w="7179" w:type="dxa"/>
          </w:tcPr>
          <w:p w:rsidR="007E5A61" w:rsidRPr="00A108D2" w:rsidRDefault="00A108D2" w:rsidP="00A108D2">
            <w:pPr>
              <w:rPr>
                <w:rFonts w:ascii="Times New Roman" w:hAnsi="Times New Roman" w:cs="Times New Roman"/>
                <w:sz w:val="18"/>
                <w:szCs w:val="18"/>
              </w:rPr>
            </w:pPr>
            <w:r w:rsidRPr="00A108D2">
              <w:rPr>
                <w:rFonts w:ascii="Times New Roman" w:hAnsi="Times New Roman" w:cs="Times New Roman"/>
                <w:sz w:val="18"/>
                <w:szCs w:val="18"/>
              </w:rPr>
              <w:t>12:22 p.m. del 29 de mayo</w:t>
            </w:r>
          </w:p>
        </w:tc>
      </w:tr>
      <w:tr w:rsidR="007E5A61" w:rsidTr="00CC0684">
        <w:tc>
          <w:tcPr>
            <w:tcW w:w="1809" w:type="dxa"/>
            <w:shd w:val="clear" w:color="auto" w:fill="95B3D7" w:themeFill="accent1" w:themeFillTint="99"/>
          </w:tcPr>
          <w:p w:rsidR="007E5A61" w:rsidRPr="00A108D2" w:rsidRDefault="007E5A61" w:rsidP="00E21615">
            <w:pPr>
              <w:rPr>
                <w:rFonts w:ascii="Times New Roman" w:hAnsi="Times New Roman" w:cs="Times New Roman"/>
                <w:sz w:val="18"/>
                <w:szCs w:val="18"/>
              </w:rPr>
            </w:pPr>
            <w:r w:rsidRPr="00A108D2">
              <w:rPr>
                <w:rFonts w:ascii="Times New Roman" w:hAnsi="Times New Roman" w:cs="Times New Roman"/>
                <w:sz w:val="18"/>
                <w:szCs w:val="18"/>
              </w:rPr>
              <w:t>Norma impugnada</w:t>
            </w:r>
            <w:r w:rsidR="00A108D2">
              <w:rPr>
                <w:rFonts w:ascii="Times New Roman" w:hAnsi="Times New Roman" w:cs="Times New Roman"/>
                <w:sz w:val="18"/>
                <w:szCs w:val="18"/>
              </w:rPr>
              <w:t>:</w:t>
            </w:r>
          </w:p>
        </w:tc>
        <w:tc>
          <w:tcPr>
            <w:tcW w:w="7179" w:type="dxa"/>
          </w:tcPr>
          <w:p w:rsidR="007E5A61" w:rsidRPr="00A108D2" w:rsidRDefault="00A108D2" w:rsidP="001C2D96">
            <w:pPr>
              <w:rPr>
                <w:rFonts w:ascii="Times New Roman" w:hAnsi="Times New Roman" w:cs="Times New Roman"/>
                <w:sz w:val="18"/>
                <w:szCs w:val="18"/>
              </w:rPr>
            </w:pPr>
            <w:r w:rsidRPr="00A108D2">
              <w:rPr>
                <w:rFonts w:ascii="Times New Roman" w:hAnsi="Times New Roman" w:cs="Times New Roman"/>
                <w:sz w:val="18"/>
                <w:szCs w:val="18"/>
              </w:rPr>
              <w:t>Disposición contenida en el artículo 44 de la Convención Colectiva de Trabajo de la Municipalidad de Santa Cruz</w:t>
            </w:r>
          </w:p>
        </w:tc>
      </w:tr>
      <w:tr w:rsidR="007E5A61" w:rsidTr="00CC0684">
        <w:tc>
          <w:tcPr>
            <w:tcW w:w="1809" w:type="dxa"/>
            <w:shd w:val="clear" w:color="auto" w:fill="C6D9F1" w:themeFill="text2" w:themeFillTint="33"/>
          </w:tcPr>
          <w:p w:rsidR="007E5A61" w:rsidRPr="00A108D2" w:rsidRDefault="007E5A61" w:rsidP="001C2D96">
            <w:pPr>
              <w:rPr>
                <w:rFonts w:ascii="Times New Roman" w:hAnsi="Times New Roman" w:cs="Times New Roman"/>
                <w:sz w:val="18"/>
                <w:szCs w:val="18"/>
              </w:rPr>
            </w:pPr>
            <w:r w:rsidRPr="00A108D2">
              <w:rPr>
                <w:rFonts w:ascii="Times New Roman" w:hAnsi="Times New Roman" w:cs="Times New Roman"/>
                <w:sz w:val="18"/>
                <w:szCs w:val="18"/>
              </w:rPr>
              <w:t>Conformación del tribunal</w:t>
            </w:r>
            <w:r w:rsidR="00A108D2">
              <w:rPr>
                <w:rFonts w:ascii="Times New Roman" w:hAnsi="Times New Roman" w:cs="Times New Roman"/>
                <w:sz w:val="18"/>
                <w:szCs w:val="18"/>
              </w:rPr>
              <w:t>:</w:t>
            </w:r>
          </w:p>
        </w:tc>
        <w:tc>
          <w:tcPr>
            <w:tcW w:w="7179" w:type="dxa"/>
          </w:tcPr>
          <w:p w:rsidR="007E5A61" w:rsidRPr="00A108D2" w:rsidRDefault="007E5A61" w:rsidP="00CC0684">
            <w:pPr>
              <w:rPr>
                <w:rFonts w:ascii="Times New Roman" w:hAnsi="Times New Roman" w:cs="Times New Roman"/>
                <w:sz w:val="18"/>
                <w:szCs w:val="18"/>
              </w:rPr>
            </w:pPr>
            <w:r w:rsidRPr="00A108D2">
              <w:rPr>
                <w:rFonts w:ascii="Times New Roman" w:eastAsia="Times New Roman" w:hAnsi="Times New Roman" w:cs="Times New Roman"/>
                <w:sz w:val="18"/>
                <w:szCs w:val="18"/>
                <w:lang w:eastAsia="es-CR"/>
              </w:rPr>
              <w:t>Fernando Castillo Víquez, quien preside, Paul Rueda Leal, Nancy Hernández López, Luis Fernando Salazar Alvarado, Jorge Araya García; y l</w:t>
            </w:r>
            <w:r w:rsidR="00CC0684">
              <w:rPr>
                <w:rFonts w:ascii="Times New Roman" w:eastAsia="Times New Roman" w:hAnsi="Times New Roman" w:cs="Times New Roman"/>
                <w:sz w:val="18"/>
                <w:szCs w:val="18"/>
                <w:lang w:eastAsia="es-CR"/>
              </w:rPr>
              <w:t>a</w:t>
            </w:r>
            <w:r w:rsidRPr="00A108D2">
              <w:rPr>
                <w:rFonts w:ascii="Times New Roman" w:eastAsia="Times New Roman" w:hAnsi="Times New Roman" w:cs="Times New Roman"/>
                <w:sz w:val="18"/>
                <w:szCs w:val="18"/>
                <w:lang w:eastAsia="es-CR"/>
              </w:rPr>
              <w:t>s suplentes Marta Esquivel y Alicia Salas</w:t>
            </w:r>
            <w:r w:rsidR="00CC0684">
              <w:rPr>
                <w:rFonts w:ascii="Times New Roman" w:eastAsia="Times New Roman" w:hAnsi="Times New Roman" w:cs="Times New Roman"/>
                <w:sz w:val="18"/>
                <w:szCs w:val="18"/>
                <w:lang w:eastAsia="es-CR"/>
              </w:rPr>
              <w:t>.</w:t>
            </w:r>
          </w:p>
        </w:tc>
      </w:tr>
    </w:tbl>
    <w:p w:rsidR="008A17F4" w:rsidRDefault="004721BA" w:rsidP="004721BA">
      <w:pPr>
        <w:jc w:val="center"/>
        <w:rPr>
          <w:rFonts w:ascii="Times New Roman" w:hAnsi="Times New Roman" w:cs="Times New Roman"/>
          <w:b/>
          <w:sz w:val="24"/>
          <w:szCs w:val="24"/>
        </w:rPr>
      </w:pPr>
      <w:r>
        <w:rPr>
          <w:rFonts w:ascii="Times New Roman" w:hAnsi="Times New Roman" w:cs="Times New Roman"/>
          <w:b/>
          <w:noProof/>
          <w:sz w:val="24"/>
          <w:szCs w:val="24"/>
          <w:lang w:eastAsia="es-CR"/>
        </w:rPr>
        <w:lastRenderedPageBreak/>
        <w:drawing>
          <wp:inline distT="0" distB="0" distL="0" distR="0">
            <wp:extent cx="2012484" cy="1879558"/>
            <wp:effectExtent l="19050" t="0" r="6816" b="0"/>
            <wp:docPr id="13" name="Imagen 8" descr="C:\Users\amatab\Desktop\Logo_Sala_Constitucional_30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matab\Desktop\Logo_Sala_Constitucional_30AN(1).png"/>
                    <pic:cNvPicPr>
                      <a:picLocks noChangeAspect="1" noChangeArrowheads="1"/>
                    </pic:cNvPicPr>
                  </pic:nvPicPr>
                  <pic:blipFill>
                    <a:blip r:embed="rId9" cstate="print"/>
                    <a:srcRect/>
                    <a:stretch>
                      <a:fillRect/>
                    </a:stretch>
                  </pic:blipFill>
                  <pic:spPr bwMode="auto">
                    <a:xfrm>
                      <a:off x="0" y="0"/>
                      <a:ext cx="2011992" cy="1879098"/>
                    </a:xfrm>
                    <a:prstGeom prst="rect">
                      <a:avLst/>
                    </a:prstGeom>
                    <a:noFill/>
                    <a:ln w="9525">
                      <a:noFill/>
                      <a:miter lim="800000"/>
                      <a:headEnd/>
                      <a:tailEnd/>
                    </a:ln>
                  </pic:spPr>
                </pic:pic>
              </a:graphicData>
            </a:graphic>
          </wp:inline>
        </w:drawing>
      </w:r>
    </w:p>
    <w:p w:rsidR="004721BA" w:rsidRDefault="004721BA" w:rsidP="0044333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Sala Constitucional</w:t>
      </w:r>
    </w:p>
    <w:p w:rsidR="004721BA" w:rsidRPr="001C2D96" w:rsidRDefault="004721BA" w:rsidP="0044333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Garante de la dignidad, </w:t>
      </w:r>
      <w:r w:rsidR="0044333C">
        <w:rPr>
          <w:rFonts w:ascii="Times New Roman" w:hAnsi="Times New Roman" w:cs="Times New Roman"/>
          <w:b/>
          <w:sz w:val="24"/>
          <w:szCs w:val="24"/>
        </w:rPr>
        <w:t>los derechos y libertad de las personas</w:t>
      </w:r>
    </w:p>
    <w:p w:rsidR="0044333C" w:rsidRPr="001C2D96" w:rsidRDefault="0044333C">
      <w:pPr>
        <w:spacing w:line="240" w:lineRule="auto"/>
        <w:jc w:val="center"/>
        <w:rPr>
          <w:rFonts w:ascii="Times New Roman" w:hAnsi="Times New Roman" w:cs="Times New Roman"/>
          <w:b/>
          <w:sz w:val="24"/>
          <w:szCs w:val="24"/>
        </w:rPr>
      </w:pPr>
    </w:p>
    <w:sectPr w:rsidR="0044333C" w:rsidRPr="001C2D96" w:rsidSect="002E549C">
      <w:head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4E1" w:rsidRDefault="002574E1" w:rsidP="0044333C">
      <w:pPr>
        <w:spacing w:after="0" w:line="240" w:lineRule="auto"/>
      </w:pPr>
      <w:r>
        <w:separator/>
      </w:r>
    </w:p>
  </w:endnote>
  <w:endnote w:type="continuationSeparator" w:id="0">
    <w:p w:rsidR="002574E1" w:rsidRDefault="002574E1" w:rsidP="00443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4E1" w:rsidRDefault="002574E1" w:rsidP="0044333C">
      <w:pPr>
        <w:spacing w:after="0" w:line="240" w:lineRule="auto"/>
      </w:pPr>
      <w:r>
        <w:separator/>
      </w:r>
    </w:p>
  </w:footnote>
  <w:footnote w:type="continuationSeparator" w:id="0">
    <w:p w:rsidR="002574E1" w:rsidRDefault="002574E1" w:rsidP="004433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410603"/>
      <w:docPartObj>
        <w:docPartGallery w:val="Page Numbers (Top of Page)"/>
        <w:docPartUnique/>
      </w:docPartObj>
    </w:sdtPr>
    <w:sdtContent>
      <w:p w:rsidR="0044333C" w:rsidRDefault="00646087">
        <w:pPr>
          <w:pStyle w:val="Encabezado"/>
          <w:jc w:val="right"/>
        </w:pPr>
        <w:fldSimple w:instr=" PAGE   \* MERGEFORMAT ">
          <w:r w:rsidR="00EC0085">
            <w:rPr>
              <w:noProof/>
            </w:rPr>
            <w:t>3</w:t>
          </w:r>
        </w:fldSimple>
      </w:p>
    </w:sdtContent>
  </w:sdt>
  <w:p w:rsidR="0044333C" w:rsidRDefault="0044333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26A82"/>
    <w:multiLevelType w:val="hybridMultilevel"/>
    <w:tmpl w:val="2B304A2A"/>
    <w:lvl w:ilvl="0" w:tplc="8A428476">
      <w:start w:val="4"/>
      <w:numFmt w:val="bullet"/>
      <w:lvlText w:val=""/>
      <w:lvlJc w:val="left"/>
      <w:pPr>
        <w:ind w:left="720" w:hanging="360"/>
      </w:pPr>
      <w:rPr>
        <w:rFonts w:ascii="Symbol" w:eastAsiaTheme="minorHAnsi"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hyphenationZone w:val="425"/>
  <w:characterSpacingControl w:val="doNotCompress"/>
  <w:footnotePr>
    <w:footnote w:id="-1"/>
    <w:footnote w:id="0"/>
  </w:footnotePr>
  <w:endnotePr>
    <w:endnote w:id="-1"/>
    <w:endnote w:id="0"/>
  </w:endnotePr>
  <w:compat/>
  <w:rsids>
    <w:rsidRoot w:val="00AE3598"/>
    <w:rsid w:val="00005B05"/>
    <w:rsid w:val="000F57A1"/>
    <w:rsid w:val="001956D0"/>
    <w:rsid w:val="001C2D96"/>
    <w:rsid w:val="001F2956"/>
    <w:rsid w:val="002574E1"/>
    <w:rsid w:val="002E549C"/>
    <w:rsid w:val="00340179"/>
    <w:rsid w:val="00340E26"/>
    <w:rsid w:val="00346E08"/>
    <w:rsid w:val="003A5281"/>
    <w:rsid w:val="003E158D"/>
    <w:rsid w:val="0044333C"/>
    <w:rsid w:val="004721BA"/>
    <w:rsid w:val="004E7668"/>
    <w:rsid w:val="00646087"/>
    <w:rsid w:val="006A026B"/>
    <w:rsid w:val="007E5A61"/>
    <w:rsid w:val="008555E3"/>
    <w:rsid w:val="008A17F4"/>
    <w:rsid w:val="008B5B9B"/>
    <w:rsid w:val="009624A4"/>
    <w:rsid w:val="00A108D2"/>
    <w:rsid w:val="00A63199"/>
    <w:rsid w:val="00AE3598"/>
    <w:rsid w:val="00B82954"/>
    <w:rsid w:val="00BC6B88"/>
    <w:rsid w:val="00BD2394"/>
    <w:rsid w:val="00CC0684"/>
    <w:rsid w:val="00DE681E"/>
    <w:rsid w:val="00E57B0C"/>
    <w:rsid w:val="00EC0085"/>
    <w:rsid w:val="00F74BB2"/>
    <w:rsid w:val="00FA7B37"/>
    <w:rsid w:val="00FE612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59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3598"/>
    <w:pPr>
      <w:ind w:left="720"/>
      <w:contextualSpacing/>
    </w:pPr>
  </w:style>
  <w:style w:type="paragraph" w:styleId="NormalWeb">
    <w:name w:val="Normal (Web)"/>
    <w:basedOn w:val="Normal"/>
    <w:uiPriority w:val="99"/>
    <w:unhideWhenUsed/>
    <w:rsid w:val="00AE359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Textodeglobo">
    <w:name w:val="Balloon Text"/>
    <w:basedOn w:val="Normal"/>
    <w:link w:val="TextodegloboCar"/>
    <w:uiPriority w:val="99"/>
    <w:semiHidden/>
    <w:unhideWhenUsed/>
    <w:rsid w:val="00AE35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598"/>
    <w:rPr>
      <w:rFonts w:ascii="Tahoma" w:hAnsi="Tahoma" w:cs="Tahoma"/>
      <w:sz w:val="16"/>
      <w:szCs w:val="16"/>
    </w:rPr>
  </w:style>
  <w:style w:type="table" w:styleId="Tablaconcuadrcula">
    <w:name w:val="Table Grid"/>
    <w:basedOn w:val="Tablanormal"/>
    <w:uiPriority w:val="39"/>
    <w:rsid w:val="00BC6B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433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333C"/>
  </w:style>
  <w:style w:type="paragraph" w:styleId="Piedepgina">
    <w:name w:val="footer"/>
    <w:basedOn w:val="Normal"/>
    <w:link w:val="PiedepginaCar"/>
    <w:uiPriority w:val="99"/>
    <w:semiHidden/>
    <w:unhideWhenUsed/>
    <w:rsid w:val="004433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433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2067D-BB51-4646-BA47-B75DE0848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756</Words>
  <Characters>4158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amatab</dc:creator>
  <cp:lastModifiedBy>amatab</cp:lastModifiedBy>
  <cp:revision>5</cp:revision>
  <cp:lastPrinted>2019-05-30T15:36:00Z</cp:lastPrinted>
  <dcterms:created xsi:type="dcterms:W3CDTF">2019-05-30T15:04:00Z</dcterms:created>
  <dcterms:modified xsi:type="dcterms:W3CDTF">2019-05-30T17:50:00Z</dcterms:modified>
</cp:coreProperties>
</file>